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18"/>
          <w:szCs w:val="18"/>
          <w:shd w:val="pct10" w:color="auto" w:fill="FFFFFF"/>
        </w:rPr>
      </w:pPr>
    </w:p>
    <w:p>
      <w:pPr>
        <w:jc w:val="center"/>
        <w:rPr>
          <w:b/>
          <w:bCs/>
          <w:sz w:val="36"/>
          <w:szCs w:val="36"/>
          <w:shd w:val="pct10" w:color="auto" w:fill="FFFFFF"/>
        </w:rPr>
      </w:pPr>
      <w:r>
        <w:rPr>
          <w:b/>
          <w:bCs/>
          <w:sz w:val="36"/>
          <w:szCs w:val="36"/>
          <w:shd w:val="pct10" w:color="auto" w:fill="FFFFFF"/>
        </w:rPr>
        <w:t>图 书 推 荐</w:t>
      </w:r>
    </w:p>
    <w:p>
      <w:pPr>
        <w:tabs>
          <w:tab w:val="left" w:pos="341"/>
          <w:tab w:val="left" w:pos="5235"/>
        </w:tabs>
        <w:jc w:val="left"/>
        <w:rPr>
          <w:b/>
          <w:bCs/>
          <w:color w:val="000000"/>
          <w:szCs w:val="18"/>
        </w:rPr>
      </w:pPr>
    </w:p>
    <w:p>
      <w:pPr>
        <w:rPr>
          <w:b/>
          <w:szCs w:val="21"/>
        </w:rPr>
      </w:pPr>
    </w:p>
    <w:p>
      <w:pPr>
        <w:rPr>
          <w:b/>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6350</wp:posOffset>
            </wp:positionV>
            <wp:extent cx="1235075" cy="1881505"/>
            <wp:effectExtent l="0" t="0" r="3810" b="5080"/>
            <wp:wrapSquare wrapText="bothSides"/>
            <wp:docPr id="6" name="图片 6" descr="https://m.media-amazon.com/images/I/81klfDLkjQ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media-amazon.com/images/I/81klfDLkjQL._SL136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34800" cy="1881205"/>
                    </a:xfrm>
                    <a:prstGeom prst="rect">
                      <a:avLst/>
                    </a:prstGeom>
                    <a:noFill/>
                    <a:ln>
                      <a:noFill/>
                    </a:ln>
                  </pic:spPr>
                </pic:pic>
              </a:graphicData>
            </a:graphic>
          </wp:anchor>
        </w:drawing>
      </w:r>
      <w:r>
        <w:rPr>
          <w:b/>
          <w:szCs w:val="21"/>
        </w:rPr>
        <w:t>中文书名：《</w:t>
      </w:r>
      <w:r>
        <w:rPr>
          <w:rFonts w:hint="eastAsia"/>
          <w:b/>
          <w:bCs/>
          <w:szCs w:val="21"/>
        </w:rPr>
        <w:t>电车难题之谜</w:t>
      </w:r>
      <w:r>
        <w:rPr>
          <w:b/>
          <w:szCs w:val="21"/>
        </w:rPr>
        <w:t>》</w:t>
      </w:r>
    </w:p>
    <w:p>
      <w:pPr>
        <w:rPr>
          <w:b/>
          <w:szCs w:val="21"/>
        </w:rPr>
      </w:pPr>
      <w:r>
        <w:rPr>
          <w:b/>
          <w:szCs w:val="21"/>
        </w:rPr>
        <w:t>英文书名：THE TROLLEY PROBLEM MYSTERIES</w:t>
      </w:r>
    </w:p>
    <w:p>
      <w:pPr>
        <w:rPr>
          <w:b/>
          <w:szCs w:val="21"/>
        </w:rPr>
      </w:pPr>
      <w:r>
        <w:rPr>
          <w:b/>
          <w:szCs w:val="21"/>
        </w:rPr>
        <w:t>作    者：F.M. Kamm and Eric Rakowski</w:t>
      </w:r>
    </w:p>
    <w:p>
      <w:pPr>
        <w:rPr>
          <w:b/>
          <w:szCs w:val="21"/>
        </w:rPr>
      </w:pPr>
      <w:r>
        <w:rPr>
          <w:b/>
          <w:szCs w:val="21"/>
        </w:rPr>
        <w:t>出 版 社：Oxford University Press</w:t>
      </w:r>
    </w:p>
    <w:p>
      <w:pPr>
        <w:rPr>
          <w:b/>
          <w:szCs w:val="21"/>
        </w:rPr>
      </w:pPr>
      <w:r>
        <w:rPr>
          <w:b/>
          <w:szCs w:val="21"/>
        </w:rPr>
        <w:t>代理公司：ANA</w:t>
      </w:r>
      <w:r>
        <w:rPr>
          <w:b/>
        </w:rPr>
        <w:t>/Jessica</w:t>
      </w:r>
    </w:p>
    <w:p>
      <w:pPr>
        <w:rPr>
          <w:b/>
          <w:szCs w:val="21"/>
        </w:rPr>
      </w:pPr>
      <w:r>
        <w:rPr>
          <w:b/>
          <w:szCs w:val="21"/>
        </w:rPr>
        <w:t>页    数：264页</w:t>
      </w:r>
    </w:p>
    <w:p>
      <w:pPr>
        <w:rPr>
          <w:b/>
          <w:szCs w:val="21"/>
        </w:rPr>
      </w:pPr>
      <w:r>
        <w:rPr>
          <w:b/>
          <w:szCs w:val="21"/>
        </w:rPr>
        <w:t>出版时间：2019年6月</w:t>
      </w:r>
    </w:p>
    <w:p>
      <w:pPr>
        <w:rPr>
          <w:b/>
          <w:szCs w:val="21"/>
        </w:rPr>
      </w:pPr>
      <w:r>
        <w:rPr>
          <w:b/>
          <w:szCs w:val="21"/>
        </w:rPr>
        <w:t>代理地区：中国大陆、台湾</w:t>
      </w:r>
    </w:p>
    <w:p>
      <w:pPr>
        <w:rPr>
          <w:b/>
          <w:szCs w:val="21"/>
        </w:rPr>
      </w:pPr>
      <w:r>
        <w:rPr>
          <w:b/>
          <w:szCs w:val="21"/>
        </w:rPr>
        <w:t>审读资料：电子稿</w:t>
      </w:r>
    </w:p>
    <w:p>
      <w:pPr>
        <w:rPr>
          <w:rFonts w:hint="eastAsia" w:eastAsia="宋体"/>
          <w:b/>
          <w:szCs w:val="21"/>
          <w:lang w:val="en-US" w:eastAsia="zh-CN"/>
        </w:rPr>
      </w:pPr>
      <w:r>
        <w:rPr>
          <w:b/>
          <w:szCs w:val="21"/>
        </w:rPr>
        <w:t>类    型：大众</w:t>
      </w:r>
      <w:r>
        <w:rPr>
          <w:rFonts w:hint="eastAsia"/>
          <w:b/>
          <w:szCs w:val="21"/>
          <w:lang w:val="en-US" w:eastAsia="zh-CN"/>
        </w:rPr>
        <w:t>哲学</w:t>
      </w:r>
      <w:bookmarkStart w:id="2" w:name="_GoBack"/>
      <w:bookmarkEnd w:id="2"/>
    </w:p>
    <w:p>
      <w:pPr>
        <w:rPr>
          <w:b/>
          <w:bCs/>
          <w:color w:val="FF0000"/>
          <w:szCs w:val="21"/>
        </w:rPr>
      </w:pPr>
      <w:r>
        <w:rPr>
          <w:rFonts w:hint="eastAsia"/>
          <w:b/>
          <w:bCs/>
          <w:color w:val="FF0000"/>
          <w:szCs w:val="21"/>
        </w:rPr>
        <w:t>中文简体字版曾授权，版权已回归</w:t>
      </w:r>
    </w:p>
    <w:p>
      <w:pPr>
        <w:rPr>
          <w:b/>
          <w:bCs/>
          <w:color w:val="FF0000"/>
          <w:szCs w:val="21"/>
        </w:rPr>
      </w:pPr>
      <w:r>
        <w:rPr>
          <w:b/>
          <w:bCs/>
          <w:color w:val="FF0000"/>
          <w:szCs w:val="21"/>
        </w:rPr>
        <w:t>亚马逊畅销书排名：</w:t>
      </w:r>
    </w:p>
    <w:p>
      <w:pPr>
        <w:rPr>
          <w:rFonts w:hint="eastAsia"/>
          <w:b/>
          <w:bCs/>
          <w:color w:val="FF0000"/>
          <w:szCs w:val="21"/>
        </w:rPr>
      </w:pPr>
      <w:r>
        <w:rPr>
          <w:b/>
          <w:bCs/>
          <w:color w:val="FF0000"/>
          <w:szCs w:val="21"/>
        </w:rPr>
        <w:t>#230 in Professional Responsibility &amp; Law Ethics</w:t>
      </w:r>
    </w:p>
    <w:p>
      <w:pPr>
        <w:rPr>
          <w:b/>
          <w:bCs/>
          <w:szCs w:val="21"/>
        </w:rPr>
      </w:pPr>
    </w:p>
    <w:p>
      <w:pPr>
        <w:spacing w:line="280" w:lineRule="exact"/>
        <w:rPr>
          <w:b/>
          <w:bCs/>
          <w:szCs w:val="21"/>
        </w:rPr>
      </w:pPr>
      <w:r>
        <w:drawing>
          <wp:anchor distT="0" distB="0" distL="114300" distR="114300" simplePos="0" relativeHeight="251661312" behindDoc="0" locked="0" layoutInCell="1" allowOverlap="1">
            <wp:simplePos x="0" y="0"/>
            <wp:positionH relativeFrom="margin">
              <wp:align>right</wp:align>
            </wp:positionH>
            <wp:positionV relativeFrom="paragraph">
              <wp:posOffset>10160</wp:posOffset>
            </wp:positionV>
            <wp:extent cx="1235710" cy="1863090"/>
            <wp:effectExtent l="0" t="0" r="2540" b="3810"/>
            <wp:wrapSquare wrapText="bothSides"/>
            <wp:docPr id="7" name="图片 7" descr="https://img2.doubanio.com/view/subject/l/public/s30022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img2.doubanio.com/view/subject/l/public/s300225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35710" cy="1863090"/>
                    </a:xfrm>
                    <a:prstGeom prst="rect">
                      <a:avLst/>
                    </a:prstGeom>
                    <a:noFill/>
                    <a:ln>
                      <a:noFill/>
                    </a:ln>
                  </pic:spPr>
                </pic:pic>
              </a:graphicData>
            </a:graphic>
          </wp:anchor>
        </w:drawing>
      </w:r>
      <w:r>
        <w:rPr>
          <w:b/>
          <w:bCs/>
          <w:szCs w:val="21"/>
        </w:rPr>
        <w:t>中简本出版记录</w:t>
      </w:r>
    </w:p>
    <w:p>
      <w:pPr>
        <w:spacing w:line="280" w:lineRule="exact"/>
        <w:rPr>
          <w:b/>
          <w:bCs/>
          <w:szCs w:val="21"/>
        </w:rPr>
      </w:pPr>
      <w:r>
        <w:rPr>
          <w:b/>
          <w:bCs/>
          <w:szCs w:val="21"/>
        </w:rPr>
        <w:t>书  名：《</w:t>
      </w:r>
      <w:r>
        <w:rPr>
          <w:rFonts w:hint="eastAsia"/>
          <w:b/>
          <w:bCs/>
          <w:szCs w:val="21"/>
        </w:rPr>
        <w:t>电车难题之谜</w:t>
      </w:r>
      <w:r>
        <w:rPr>
          <w:b/>
          <w:bCs/>
          <w:szCs w:val="21"/>
        </w:rPr>
        <w:t>》</w:t>
      </w:r>
    </w:p>
    <w:p>
      <w:pPr>
        <w:wordWrap w:val="0"/>
        <w:jc w:val="left"/>
        <w:rPr>
          <w:b/>
          <w:bCs/>
          <w:szCs w:val="21"/>
        </w:rPr>
      </w:pPr>
      <w:r>
        <w:rPr>
          <w:b/>
          <w:bCs/>
          <w:szCs w:val="21"/>
        </w:rPr>
        <w:t>作  者：</w:t>
      </w:r>
      <w:r>
        <w:rPr>
          <w:rFonts w:hint="eastAsia"/>
          <w:b/>
          <w:bCs/>
          <w:szCs w:val="21"/>
        </w:rPr>
        <w:t>[美]弗朗西丝·默纳·卡姆 / [美]埃里克·拉科夫斯基</w:t>
      </w:r>
    </w:p>
    <w:p>
      <w:pPr>
        <w:wordWrap w:val="0"/>
        <w:jc w:val="left"/>
        <w:rPr>
          <w:bCs/>
          <w:szCs w:val="21"/>
        </w:rPr>
      </w:pPr>
      <w:r>
        <w:rPr>
          <w:b/>
          <w:bCs/>
          <w:szCs w:val="21"/>
        </w:rPr>
        <w:t>出版社：</w:t>
      </w:r>
      <w:r>
        <w:rPr>
          <w:rFonts w:hint="eastAsia"/>
          <w:b/>
          <w:bCs/>
          <w:szCs w:val="21"/>
        </w:rPr>
        <w:t>北京大学出版社</w:t>
      </w:r>
    </w:p>
    <w:p>
      <w:pPr>
        <w:wordWrap w:val="0"/>
        <w:jc w:val="left"/>
        <w:rPr>
          <w:b/>
          <w:bCs/>
          <w:szCs w:val="21"/>
        </w:rPr>
      </w:pPr>
      <w:r>
        <w:rPr>
          <w:b/>
          <w:bCs/>
          <w:szCs w:val="21"/>
        </w:rPr>
        <w:t>译  者：</w:t>
      </w:r>
      <w:r>
        <w:rPr>
          <w:rFonts w:hint="eastAsia"/>
          <w:b/>
          <w:bCs/>
          <w:szCs w:val="21"/>
        </w:rPr>
        <w:t>常云云</w:t>
      </w:r>
    </w:p>
    <w:p>
      <w:pPr>
        <w:wordWrap w:val="0"/>
        <w:jc w:val="left"/>
        <w:rPr>
          <w:b/>
          <w:bCs/>
          <w:szCs w:val="21"/>
        </w:rPr>
      </w:pPr>
      <w:r>
        <w:rPr>
          <w:b/>
          <w:bCs/>
          <w:szCs w:val="21"/>
        </w:rPr>
        <w:t>出版年：2018年12月</w:t>
      </w:r>
    </w:p>
    <w:p>
      <w:pPr>
        <w:wordWrap w:val="0"/>
        <w:jc w:val="left"/>
        <w:rPr>
          <w:b/>
          <w:bCs/>
          <w:szCs w:val="21"/>
        </w:rPr>
      </w:pPr>
      <w:r>
        <w:rPr>
          <w:b/>
          <w:bCs/>
          <w:szCs w:val="21"/>
        </w:rPr>
        <w:t>页  数：351页</w:t>
      </w:r>
    </w:p>
    <w:p>
      <w:pPr>
        <w:wordWrap w:val="0"/>
        <w:jc w:val="left"/>
        <w:rPr>
          <w:b/>
          <w:bCs/>
          <w:szCs w:val="21"/>
        </w:rPr>
      </w:pPr>
      <w:r>
        <w:rPr>
          <w:b/>
          <w:bCs/>
          <w:szCs w:val="21"/>
        </w:rPr>
        <w:t>定  价：59元</w:t>
      </w:r>
    </w:p>
    <w:p>
      <w:pPr>
        <w:wordWrap w:val="0"/>
        <w:jc w:val="left"/>
        <w:rPr>
          <w:b/>
          <w:bCs/>
          <w:szCs w:val="21"/>
        </w:rPr>
      </w:pPr>
      <w:r>
        <w:rPr>
          <w:b/>
          <w:bCs/>
          <w:szCs w:val="21"/>
        </w:rPr>
        <w:t>装  帧：</w:t>
      </w:r>
      <w:r>
        <w:rPr>
          <w:rFonts w:hint="eastAsia"/>
          <w:b/>
          <w:bCs/>
          <w:szCs w:val="21"/>
        </w:rPr>
        <w:t>精装</w:t>
      </w:r>
    </w:p>
    <w:p>
      <w:pPr>
        <w:rPr>
          <w:b/>
          <w:bCs/>
          <w:szCs w:val="21"/>
        </w:rPr>
      </w:pPr>
    </w:p>
    <w:p>
      <w:pPr>
        <w:rPr>
          <w:b/>
          <w:bCs/>
          <w:szCs w:val="21"/>
        </w:rPr>
      </w:pPr>
    </w:p>
    <w:p>
      <w:pPr>
        <w:rPr>
          <w:b/>
          <w:bCs/>
          <w:szCs w:val="21"/>
        </w:rPr>
      </w:pPr>
      <w:r>
        <w:rPr>
          <w:b/>
          <w:bCs/>
          <w:szCs w:val="21"/>
        </w:rPr>
        <w:t>内容简介：</w:t>
      </w:r>
    </w:p>
    <w:p>
      <w:pPr>
        <w:rPr>
          <w:szCs w:val="21"/>
        </w:rPr>
      </w:pPr>
    </w:p>
    <w:p>
      <w:pPr>
        <w:ind w:firstLine="422" w:firstLineChars="200"/>
        <w:rPr>
          <w:b/>
          <w:szCs w:val="21"/>
        </w:rPr>
      </w:pPr>
      <w:r>
        <w:rPr>
          <w:rFonts w:hint="eastAsia"/>
          <w:b/>
          <w:szCs w:val="21"/>
        </w:rPr>
        <w:t>360度全方位深度解析风靡全球的伦理话题——“电车难题”。</w:t>
      </w:r>
    </w:p>
    <w:p>
      <w:pPr>
        <w:ind w:firstLine="420" w:firstLineChars="200"/>
        <w:rPr>
          <w:szCs w:val="21"/>
        </w:rPr>
      </w:pPr>
    </w:p>
    <w:p>
      <w:pPr>
        <w:ind w:firstLine="420" w:firstLineChars="200"/>
        <w:rPr>
          <w:szCs w:val="21"/>
        </w:rPr>
      </w:pPr>
      <w:r>
        <w:rPr>
          <w:rFonts w:hint="eastAsia"/>
          <w:szCs w:val="21"/>
        </w:rPr>
        <w:t>假设你可以阻止一辆电车撞上五个人，但只能通过将它转向另一条轨道来实现，那条轨道上会撞上一个人，你会让电车转向吗？如果解救这五个人的唯一办法是把电车前面的一个旁观者推倒，让他的身体阻止电车，但他自己只能因此丧生，你会使用这样的装置来阻止电车撞上五个人吗？“电车难题”向我们提出了挑战，要求我们解释和证明我们对这些情况和相关情况的不同直觉判断，并因此催生了大量文献。</w:t>
      </w:r>
    </w:p>
    <w:p>
      <w:pPr>
        <w:ind w:firstLine="420" w:firstLineChars="200"/>
        <w:rPr>
          <w:rFonts w:hint="eastAsia"/>
          <w:szCs w:val="21"/>
        </w:rPr>
      </w:pPr>
    </w:p>
    <w:p>
      <w:pPr>
        <w:ind w:firstLine="420" w:firstLineChars="200"/>
        <w:rPr>
          <w:rFonts w:hint="eastAsia"/>
          <w:szCs w:val="21"/>
        </w:rPr>
      </w:pPr>
      <w:r>
        <w:rPr>
          <w:rFonts w:hint="eastAsia"/>
          <w:szCs w:val="21"/>
        </w:rPr>
        <w:t>每年在英美九所大学举办的“坦纳人类价值讲座”（The Tanner Lectures on Human Values），是英美人文思想界声誉至高的学术盛事。2013年在加州大学伯克利分校举办的坦纳讲座，探讨的主题是久负盛名的“电车难题”。本书即是根据此次讲座的内容整理而成。</w:t>
      </w:r>
    </w:p>
    <w:p>
      <w:pPr>
        <w:ind w:firstLine="420" w:firstLineChars="200"/>
        <w:rPr>
          <w:szCs w:val="21"/>
        </w:rPr>
      </w:pPr>
    </w:p>
    <w:p>
      <w:pPr>
        <w:ind w:firstLine="420" w:firstLineChars="200"/>
        <w:rPr>
          <w:szCs w:val="21"/>
        </w:rPr>
      </w:pPr>
      <w:r>
        <w:rPr>
          <w:rFonts w:hint="eastAsia"/>
          <w:szCs w:val="21"/>
        </w:rPr>
        <w:t>此次讲座的主讲人是哈佛大学教授弗朗西丝·默纳·卡姆，担任评议或者说与之论战的学者包括：麻省理工学院哲学教授朱迪思·贾维斯·汤姆森（</w:t>
      </w:r>
      <w:r>
        <w:rPr>
          <w:szCs w:val="21"/>
          <w:shd w:val="clear" w:color="auto" w:fill="FFFFFF"/>
        </w:rPr>
        <w:t>Judith Jarvis Thomson</w:t>
      </w:r>
      <w:r>
        <w:rPr>
          <w:rFonts w:hint="eastAsia"/>
          <w:szCs w:val="21"/>
        </w:rPr>
        <w:t>）、多伦多大学哲学教授托马斯·胡尔卡（</w:t>
      </w:r>
      <w:r>
        <w:rPr>
          <w:szCs w:val="21"/>
          <w:shd w:val="clear" w:color="auto" w:fill="FFFFFF"/>
        </w:rPr>
        <w:t>Thomas Hurka</w:t>
      </w:r>
      <w:r>
        <w:rPr>
          <w:rFonts w:hint="eastAsia"/>
          <w:szCs w:val="21"/>
        </w:rPr>
        <w:t>）、耶鲁大学哲学教授谢利·卡根（</w:t>
      </w:r>
      <w:r>
        <w:rPr>
          <w:szCs w:val="21"/>
        </w:rPr>
        <w:t>Shelly Kagan</w:t>
      </w:r>
      <w:r>
        <w:rPr>
          <w:rFonts w:hint="eastAsia"/>
          <w:szCs w:val="21"/>
        </w:rPr>
        <w:t>）。发言阵容可谓星光熠熠。诸位发言人围绕“电车难题”这一极具争议性的伦理假设，各抒己见，激烈交锋，共同奉献了一场思维盛宴。</w:t>
      </w:r>
    </w:p>
    <w:p>
      <w:pPr>
        <w:ind w:firstLine="420" w:firstLineChars="200"/>
        <w:rPr>
          <w:szCs w:val="21"/>
        </w:rPr>
      </w:pPr>
    </w:p>
    <w:p>
      <w:pPr>
        <w:ind w:firstLine="420" w:firstLineChars="200"/>
        <w:rPr>
          <w:szCs w:val="21"/>
        </w:rPr>
      </w:pPr>
      <w:r>
        <w:rPr>
          <w:rFonts w:hint="eastAsia"/>
          <w:szCs w:val="21"/>
        </w:rPr>
        <w:t>卡姆在讲座中提出并论证了她的复杂电车难题解决方案，分析了大量的其他案例。在简要介绍了有关这一问题的观点变化历史以及解决这一问题的尝试之后，她重点关注了两个突出问题：谁在让电车转向以及如何转移伤害是否会影响行为的道德允许性？行为人在其中必须决定，当可以用较少人的死亡作为替代时，他是否可以任由另一些人去死。通过对这些问题的回答，她提出了关于我们何时可以、何时不可以为了帮助他人而伤害某些人的一般性建议。</w:t>
      </w:r>
    </w:p>
    <w:p>
      <w:pPr>
        <w:ind w:firstLine="420" w:firstLineChars="200"/>
        <w:rPr>
          <w:szCs w:val="21"/>
        </w:rPr>
      </w:pPr>
    </w:p>
    <w:p>
      <w:pPr>
        <w:ind w:firstLine="420" w:firstLineChars="200"/>
        <w:rPr>
          <w:rFonts w:hint="eastAsia"/>
          <w:szCs w:val="21"/>
        </w:rPr>
      </w:pPr>
      <w:r>
        <w:rPr>
          <w:szCs w:val="21"/>
        </w:rPr>
        <w:t>针对三位杰出的学家对</w:t>
      </w:r>
      <w:r>
        <w:rPr>
          <w:rFonts w:hint="eastAsia"/>
          <w:szCs w:val="21"/>
        </w:rPr>
        <w:t>其建议的评论，卡姆都做了详尽的回应，并为自己的观点提供了极其丰富的阐述和辩护。多位顶尖的知识贡献者展开的这种道德哲学讨论，确实是一次意义重大的思想交锋。《电车难题之谜》使这两场讲座、评论和回应成为以后探究电车难题的无价宝藏，它不仅对关注电车难题的哲学家来说是一本宝贵的资料，对任何关心当我们可以通过伤害他人来减少对某些人的伤害时，我们应该如何行动，以及我们如何就这个问题做出决定的人来说，也都是一个宝贵的资源。</w:t>
      </w:r>
    </w:p>
    <w:p>
      <w:pPr>
        <w:rPr>
          <w:szCs w:val="21"/>
        </w:rPr>
      </w:pPr>
    </w:p>
    <w:p>
      <w:pPr>
        <w:rPr>
          <w:b/>
          <w:bCs/>
          <w:szCs w:val="21"/>
        </w:rPr>
      </w:pPr>
    </w:p>
    <w:p>
      <w:pPr>
        <w:rPr>
          <w:b/>
          <w:bCs/>
          <w:szCs w:val="21"/>
        </w:rPr>
      </w:pPr>
      <w:r>
        <w:rPr>
          <w:b/>
          <w:bCs/>
          <w:szCs w:val="21"/>
        </w:rPr>
        <w:t>作者简介：</w:t>
      </w:r>
    </w:p>
    <w:p>
      <w:pPr>
        <w:rPr>
          <w:szCs w:val="21"/>
        </w:rPr>
      </w:pPr>
    </w:p>
    <w:p>
      <w:pPr>
        <w:ind w:firstLine="420" w:firstLineChars="200"/>
        <w:rPr>
          <w:rFonts w:hint="eastAsia"/>
          <w:szCs w:val="21"/>
        </w:rPr>
      </w:pPr>
      <w:r>
        <w:drawing>
          <wp:anchor distT="0" distB="0" distL="114300" distR="114300" simplePos="0" relativeHeight="251662336" behindDoc="1" locked="0" layoutInCell="1" allowOverlap="1">
            <wp:simplePos x="0" y="0"/>
            <wp:positionH relativeFrom="margin">
              <wp:align>left</wp:align>
            </wp:positionH>
            <wp:positionV relativeFrom="paragraph">
              <wp:posOffset>11430</wp:posOffset>
            </wp:positionV>
            <wp:extent cx="946785" cy="1155700"/>
            <wp:effectExtent l="0" t="0" r="5715" b="6350"/>
            <wp:wrapTight wrapText="bothSides">
              <wp:wrapPolygon>
                <wp:start x="0" y="0"/>
                <wp:lineTo x="0" y="21363"/>
                <wp:lineTo x="21296" y="21363"/>
                <wp:lineTo x="21296" y="0"/>
                <wp:lineTo x="0" y="0"/>
              </wp:wrapPolygon>
            </wp:wrapTight>
            <wp:docPr id="8" name="图片 8" descr="Frances M. K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rances M. Ka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46785" cy="1155700"/>
                    </a:xfrm>
                    <a:prstGeom prst="rect">
                      <a:avLst/>
                    </a:prstGeom>
                    <a:noFill/>
                    <a:ln>
                      <a:noFill/>
                    </a:ln>
                  </pic:spPr>
                </pic:pic>
              </a:graphicData>
            </a:graphic>
          </wp:anchor>
        </w:drawing>
      </w:r>
      <w:r>
        <w:rPr>
          <w:rFonts w:hint="eastAsia"/>
          <w:b/>
          <w:szCs w:val="21"/>
        </w:rPr>
        <w:t>弗朗西丝·默纳·卡姆（F.M.</w:t>
      </w:r>
      <w:r>
        <w:rPr>
          <w:b/>
          <w:szCs w:val="21"/>
        </w:rPr>
        <w:t xml:space="preserve"> </w:t>
      </w:r>
      <w:r>
        <w:rPr>
          <w:rFonts w:hint="eastAsia"/>
          <w:b/>
          <w:szCs w:val="21"/>
        </w:rPr>
        <w:t>Kamm）</w:t>
      </w:r>
      <w:r>
        <w:rPr>
          <w:rFonts w:hint="eastAsia"/>
          <w:szCs w:val="21"/>
        </w:rPr>
        <w:t>，当代具有卓越影响力的哲学家，哈佛大学肯尼迪政府学院“卢修斯·利陶尔哲学与公共政策讲席教授”（Lucius Littauer Professor of Philosophy and Public Policy），权威学术期刊《哲学与公共事务》（Philosophy &amp; Public Affairs）编辑委员会成员，美国人文与科学院（American Academy of Arts and Sciences）院士。近期代表作包括2010年出版的《复杂伦理学》与2013年出版的《生命伦理学方案》。</w:t>
      </w:r>
    </w:p>
    <w:p>
      <w:pPr>
        <w:ind w:firstLine="420" w:firstLineChars="200"/>
        <w:rPr>
          <w:szCs w:val="21"/>
        </w:rPr>
      </w:pPr>
    </w:p>
    <w:p>
      <w:pPr>
        <w:ind w:firstLine="420" w:firstLineChars="200"/>
        <w:rPr>
          <w:rFonts w:hint="eastAsia"/>
          <w:szCs w:val="21"/>
        </w:rPr>
      </w:pPr>
      <w:r>
        <w:drawing>
          <wp:anchor distT="0" distB="0" distL="114300" distR="114300" simplePos="0" relativeHeight="251663360" behindDoc="1" locked="0" layoutInCell="1" allowOverlap="1">
            <wp:simplePos x="0" y="0"/>
            <wp:positionH relativeFrom="margin">
              <wp:align>left</wp:align>
            </wp:positionH>
            <wp:positionV relativeFrom="paragraph">
              <wp:posOffset>5080</wp:posOffset>
            </wp:positionV>
            <wp:extent cx="946785" cy="946150"/>
            <wp:effectExtent l="0" t="0" r="5715" b="6350"/>
            <wp:wrapTight wrapText="bothSides">
              <wp:wrapPolygon>
                <wp:start x="0" y="0"/>
                <wp:lineTo x="0" y="21310"/>
                <wp:lineTo x="21296" y="21310"/>
                <wp:lineTo x="21296" y="0"/>
                <wp:lineTo x="0" y="0"/>
              </wp:wrapPolygon>
            </wp:wrapTight>
            <wp:docPr id="9" name="图片 9" descr="https://www.law.berkeley.edu/wp-content/uploads/2016/07/Eric-Rakowski-portrait-2021.1-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www.law.berkeley.edu/wp-content/uploads/2016/07/Eric-Rakowski-portrait-2021.1-sca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9325" cy="948690"/>
                    </a:xfrm>
                    <a:prstGeom prst="rect">
                      <a:avLst/>
                    </a:prstGeom>
                    <a:noFill/>
                    <a:ln>
                      <a:noFill/>
                    </a:ln>
                  </pic:spPr>
                </pic:pic>
              </a:graphicData>
            </a:graphic>
          </wp:anchor>
        </w:drawing>
      </w:r>
      <w:r>
        <w:rPr>
          <w:rFonts w:hint="eastAsia"/>
          <w:b/>
          <w:szCs w:val="21"/>
        </w:rPr>
        <w:t>埃里克·拉科夫斯基（Eric Rakowski）</w:t>
      </w:r>
      <w:r>
        <w:rPr>
          <w:rFonts w:hint="eastAsia"/>
          <w:szCs w:val="21"/>
        </w:rPr>
        <w:t>是加州大学伯克利分校“哈尔巴赫信托与财产法讲席教授”（Halbach Professor of Trust &amp; Estates Law）。他的哲学研究主要涉及在并非所有人都能获得帮助时应该帮助哪些人的分配正义问题，以及生物医学的伦理问题。他还是《同等正义》（Equal Justice，牛津大学出版社，1991）一书的作者。他的主要著作涉及税收、分配正义、医疗保健和道德哲学等问题。</w:t>
      </w:r>
    </w:p>
    <w:p>
      <w:pPr>
        <w:rPr>
          <w:szCs w:val="21"/>
        </w:rPr>
      </w:pPr>
    </w:p>
    <w:p>
      <w:pPr>
        <w:rPr>
          <w:szCs w:val="21"/>
        </w:rPr>
      </w:pPr>
    </w:p>
    <w:p>
      <w:pPr>
        <w:rPr>
          <w:b/>
          <w:bCs/>
          <w:szCs w:val="21"/>
        </w:rPr>
      </w:pPr>
      <w:r>
        <w:rPr>
          <w:b/>
          <w:bCs/>
          <w:szCs w:val="21"/>
        </w:rPr>
        <w:t>媒体评价：</w:t>
      </w:r>
    </w:p>
    <w:p>
      <w:pPr>
        <w:widowControl/>
        <w:shd w:val="clear" w:color="auto" w:fill="FFFFFF"/>
        <w:spacing w:line="330" w:lineRule="atLeast"/>
        <w:rPr>
          <w:bCs/>
          <w:kern w:val="0"/>
          <w:szCs w:val="21"/>
          <w:shd w:val="clear" w:color="auto" w:fill="FFFFFF"/>
        </w:rPr>
      </w:pPr>
    </w:p>
    <w:p>
      <w:pPr>
        <w:widowControl/>
        <w:shd w:val="clear" w:color="auto" w:fill="FFFFFF"/>
        <w:spacing w:line="330" w:lineRule="atLeast"/>
        <w:ind w:firstLine="420" w:firstLineChars="200"/>
        <w:rPr>
          <w:rFonts w:ascii="宋体" w:hAnsi="宋体"/>
          <w:bCs/>
          <w:kern w:val="0"/>
          <w:szCs w:val="21"/>
          <w:shd w:val="clear" w:color="auto" w:fill="FFFFFF"/>
        </w:rPr>
      </w:pPr>
      <w:r>
        <w:rPr>
          <w:rFonts w:hint="eastAsia" w:ascii="宋体" w:hAnsi="宋体"/>
          <w:bCs/>
          <w:kern w:val="0"/>
          <w:szCs w:val="21"/>
          <w:shd w:val="clear" w:color="auto" w:fill="FFFFFF"/>
        </w:rPr>
        <w:t>“卡姆在回应评论者时，试图回答这些以及许多其他反对意见。这些杰出对话使得这本书变得弥足珍贵。我建议每位研究生或道德哲学家都应该阅读这本书，以了解在电车难题中可能发生的许多假设情况。”</w:t>
      </w:r>
    </w:p>
    <w:p>
      <w:pPr>
        <w:widowControl/>
        <w:shd w:val="clear" w:color="auto" w:fill="FFFFFF"/>
        <w:spacing w:line="330" w:lineRule="atLeast"/>
        <w:ind w:firstLine="420" w:firstLineChars="200"/>
        <w:jc w:val="right"/>
        <w:rPr>
          <w:rFonts w:hint="eastAsia" w:ascii="宋体" w:hAnsi="宋体"/>
          <w:bCs/>
          <w:kern w:val="0"/>
          <w:szCs w:val="21"/>
          <w:shd w:val="clear" w:color="auto" w:fill="FFFFFF"/>
        </w:rPr>
      </w:pPr>
      <w:r>
        <w:rPr>
          <w:rFonts w:hint="eastAsia" w:ascii="宋体" w:hAnsi="宋体"/>
          <w:bCs/>
          <w:kern w:val="0"/>
          <w:szCs w:val="21"/>
          <w:shd w:val="clear" w:color="auto" w:fill="FFFFFF"/>
        </w:rPr>
        <w:t>-</w:t>
      </w:r>
      <w:r>
        <w:rPr>
          <w:rFonts w:ascii="宋体" w:hAnsi="宋体"/>
          <w:bCs/>
          <w:kern w:val="0"/>
          <w:szCs w:val="21"/>
          <w:shd w:val="clear" w:color="auto" w:fill="FFFFFF"/>
        </w:rPr>
        <w:t>---</w:t>
      </w:r>
      <w:r>
        <w:rPr>
          <w:rFonts w:hint="eastAsia" w:ascii="宋体" w:hAnsi="宋体"/>
          <w:bCs/>
          <w:kern w:val="0"/>
          <w:szCs w:val="21"/>
          <w:shd w:val="clear" w:color="auto" w:fill="FFFFFF"/>
        </w:rPr>
        <w:t>《元心理学在线评论》（</w:t>
      </w:r>
      <w:r>
        <w:rPr>
          <w:i/>
          <w:iCs/>
          <w:szCs w:val="21"/>
          <w:shd w:val="clear" w:color="auto" w:fill="FFFFFF"/>
        </w:rPr>
        <w:t>Metapsychology Online Reviews</w:t>
      </w:r>
      <w:r>
        <w:rPr>
          <w:rFonts w:hint="eastAsia" w:ascii="宋体" w:hAnsi="宋体"/>
          <w:bCs/>
          <w:kern w:val="0"/>
          <w:szCs w:val="21"/>
          <w:shd w:val="clear" w:color="auto" w:fill="FFFFFF"/>
        </w:rPr>
        <w:t>）</w:t>
      </w:r>
    </w:p>
    <w:p>
      <w:pPr>
        <w:widowControl/>
        <w:shd w:val="clear" w:color="auto" w:fill="FFFFFF"/>
        <w:spacing w:line="330" w:lineRule="atLeast"/>
        <w:ind w:firstLine="420" w:firstLineChars="200"/>
        <w:rPr>
          <w:rFonts w:ascii="宋体" w:hAnsi="宋体"/>
          <w:bCs/>
          <w:kern w:val="0"/>
          <w:szCs w:val="21"/>
          <w:shd w:val="clear" w:color="auto" w:fill="FFFFFF"/>
        </w:rPr>
      </w:pPr>
    </w:p>
    <w:p>
      <w:pPr>
        <w:widowControl/>
        <w:shd w:val="clear" w:color="auto" w:fill="FFFFFF"/>
        <w:spacing w:line="330" w:lineRule="atLeast"/>
        <w:ind w:firstLine="420" w:firstLineChars="200"/>
        <w:rPr>
          <w:rFonts w:ascii="宋体" w:hAnsi="宋体"/>
          <w:bCs/>
          <w:kern w:val="0"/>
          <w:szCs w:val="21"/>
          <w:shd w:val="clear" w:color="auto" w:fill="FFFFFF"/>
        </w:rPr>
      </w:pPr>
      <w:r>
        <w:rPr>
          <w:rFonts w:ascii="宋体" w:hAnsi="宋体"/>
          <w:bCs/>
          <w:kern w:val="0"/>
          <w:szCs w:val="21"/>
          <w:shd w:val="clear" w:color="auto" w:fill="FFFFFF"/>
        </w:rPr>
        <w:t>“……</w:t>
      </w:r>
      <w:r>
        <w:rPr>
          <w:rFonts w:hint="eastAsia" w:ascii="宋体" w:hAnsi="宋体"/>
          <w:bCs/>
          <w:kern w:val="0"/>
          <w:szCs w:val="21"/>
          <w:shd w:val="clear" w:color="auto" w:fill="FFFFFF"/>
        </w:rPr>
        <w:t>这本书应被视为卡姆及其对话者们对文献所做重要贡献的概述。这本书也是检验新假设的丰富案例来源——从“移植”（</w:t>
      </w:r>
      <w:r>
        <w:rPr>
          <w:bCs/>
          <w:kern w:val="0"/>
          <w:szCs w:val="21"/>
          <w:shd w:val="clear" w:color="auto" w:fill="FFFFFF"/>
        </w:rPr>
        <w:t>Transplant</w:t>
      </w:r>
      <w:r>
        <w:rPr>
          <w:rFonts w:hint="eastAsia" w:ascii="宋体" w:hAnsi="宋体"/>
          <w:bCs/>
          <w:kern w:val="0"/>
          <w:szCs w:val="21"/>
          <w:shd w:val="clear" w:color="auto" w:fill="FFFFFF"/>
        </w:rPr>
        <w:t>）、“司机”（</w:t>
      </w:r>
      <w:r>
        <w:rPr>
          <w:bCs/>
          <w:kern w:val="0"/>
          <w:szCs w:val="21"/>
          <w:shd w:val="clear" w:color="auto" w:fill="FFFFFF"/>
        </w:rPr>
        <w:t>Driver</w:t>
      </w:r>
      <w:r>
        <w:rPr>
          <w:rFonts w:hint="eastAsia" w:ascii="宋体" w:hAnsi="宋体"/>
          <w:bCs/>
          <w:kern w:val="0"/>
          <w:szCs w:val="21"/>
          <w:shd w:val="clear" w:color="auto" w:fill="FFFFFF"/>
        </w:rPr>
        <w:t>）和“旁观者”（</w:t>
      </w:r>
      <w:r>
        <w:rPr>
          <w:bCs/>
          <w:kern w:val="0"/>
          <w:szCs w:val="21"/>
          <w:shd w:val="clear" w:color="auto" w:fill="FFFFFF"/>
        </w:rPr>
        <w:t>Bystander</w:t>
      </w:r>
      <w:r>
        <w:rPr>
          <w:rFonts w:hint="eastAsia" w:ascii="宋体" w:hAnsi="宋体"/>
          <w:bCs/>
          <w:kern w:val="0"/>
          <w:szCs w:val="21"/>
          <w:shd w:val="clear" w:color="auto" w:fill="FFFFFF"/>
        </w:rPr>
        <w:t>）等独具匠心的经典案例，到“汤姆森的环形案例”（</w:t>
      </w:r>
      <w:r>
        <w:rPr>
          <w:szCs w:val="21"/>
          <w:shd w:val="clear" w:color="auto" w:fill="FFFFFF"/>
        </w:rPr>
        <w:t>Thomson's Loop Case</w:t>
      </w:r>
      <w:r>
        <w:rPr>
          <w:rFonts w:hint="eastAsia" w:ascii="宋体" w:hAnsi="宋体"/>
          <w:bCs/>
          <w:kern w:val="0"/>
          <w:szCs w:val="21"/>
          <w:shd w:val="clear" w:color="auto" w:fill="FFFFFF"/>
        </w:rPr>
        <w:t>）等一些较新的发展，再到一些涉及拖拉机和炸弹的特别令人困惑的案例……电车问题仍然一如既往地真实、紧迫和引人入胜，有一位不回避复杂性的哲学家作为向导，引领我们探讨这个问题是一件非常幸运的事情。”</w:t>
      </w:r>
    </w:p>
    <w:p>
      <w:pPr>
        <w:widowControl/>
        <w:shd w:val="clear" w:color="auto" w:fill="FFFFFF"/>
        <w:spacing w:line="330" w:lineRule="atLeast"/>
        <w:ind w:firstLine="420" w:firstLineChars="200"/>
        <w:jc w:val="right"/>
        <w:rPr>
          <w:rFonts w:ascii="宋体" w:hAnsi="宋体"/>
          <w:bCs/>
          <w:kern w:val="0"/>
          <w:szCs w:val="21"/>
          <w:shd w:val="clear" w:color="auto" w:fill="FFFFFF"/>
        </w:rPr>
      </w:pPr>
      <w:r>
        <w:rPr>
          <w:rFonts w:hint="eastAsia" w:ascii="宋体" w:hAnsi="宋体"/>
          <w:bCs/>
          <w:kern w:val="0"/>
          <w:szCs w:val="21"/>
          <w:shd w:val="clear" w:color="auto" w:fill="FFFFFF"/>
        </w:rPr>
        <w:t xml:space="preserve"> </w:t>
      </w:r>
      <w:r>
        <w:rPr>
          <w:rFonts w:ascii="宋体" w:hAnsi="宋体"/>
          <w:bCs/>
          <w:kern w:val="0"/>
          <w:szCs w:val="21"/>
          <w:shd w:val="clear" w:color="auto" w:fill="FFFFFF"/>
        </w:rPr>
        <w:t>----《</w:t>
      </w:r>
      <w:r>
        <w:rPr>
          <w:rFonts w:hint="eastAsia" w:ascii="宋体" w:hAnsi="宋体"/>
          <w:bCs/>
          <w:kern w:val="0"/>
          <w:szCs w:val="21"/>
          <w:shd w:val="clear" w:color="auto" w:fill="FFFFFF"/>
        </w:rPr>
        <w:t>伦理学</w:t>
      </w:r>
      <w:r>
        <w:rPr>
          <w:rFonts w:ascii="宋体" w:hAnsi="宋体"/>
          <w:bCs/>
          <w:kern w:val="0"/>
          <w:szCs w:val="21"/>
          <w:shd w:val="clear" w:color="auto" w:fill="FFFFFF"/>
        </w:rPr>
        <w:t>》（</w:t>
      </w:r>
      <w:r>
        <w:rPr>
          <w:i/>
          <w:iCs/>
          <w:szCs w:val="21"/>
          <w:shd w:val="clear" w:color="auto" w:fill="FFFFFF"/>
        </w:rPr>
        <w:t>Ethics</w:t>
      </w:r>
      <w:r>
        <w:rPr>
          <w:rFonts w:ascii="宋体" w:hAnsi="宋体"/>
          <w:bCs/>
          <w:kern w:val="0"/>
          <w:szCs w:val="21"/>
          <w:shd w:val="clear" w:color="auto" w:fill="FFFFFF"/>
        </w:rPr>
        <w:t>）</w:t>
      </w:r>
    </w:p>
    <w:p>
      <w:pPr>
        <w:widowControl/>
        <w:shd w:val="clear" w:color="auto" w:fill="FFFFFF"/>
        <w:spacing w:line="330" w:lineRule="atLeast"/>
        <w:ind w:firstLine="420" w:firstLineChars="200"/>
        <w:rPr>
          <w:rFonts w:ascii="宋体" w:hAnsi="宋体"/>
          <w:bCs/>
          <w:kern w:val="0"/>
          <w:szCs w:val="21"/>
          <w:shd w:val="clear" w:color="auto" w:fill="FFFFFF"/>
        </w:rPr>
      </w:pPr>
    </w:p>
    <w:p>
      <w:pPr>
        <w:widowControl/>
        <w:shd w:val="clear" w:color="auto" w:fill="FFFFFF"/>
        <w:spacing w:line="330" w:lineRule="atLeast"/>
        <w:ind w:firstLine="420" w:firstLineChars="200"/>
        <w:rPr>
          <w:bCs/>
          <w:kern w:val="0"/>
          <w:szCs w:val="21"/>
          <w:shd w:val="clear" w:color="auto" w:fill="FFFFFF"/>
        </w:rPr>
      </w:pPr>
      <w:r>
        <w:rPr>
          <w:rFonts w:hint="eastAsia"/>
          <w:bCs/>
          <w:kern w:val="0"/>
          <w:szCs w:val="21"/>
          <w:shd w:val="clear" w:color="auto" w:fill="FFFFFF"/>
        </w:rPr>
        <w:t>“弗朗西丝·默纳·卡姆教授是一位道德哲学家，数十年来一直是这一著名思想实验的主要分析者。朱迪思·贾维斯·汤姆森、托马斯·胡尔卡和</w:t>
      </w:r>
      <w:r>
        <w:rPr>
          <w:rFonts w:hint="eastAsia"/>
          <w:szCs w:val="21"/>
        </w:rPr>
        <w:t>谢利·卡根</w:t>
      </w:r>
      <w:r>
        <w:rPr>
          <w:rFonts w:hint="eastAsia"/>
          <w:bCs/>
          <w:kern w:val="0"/>
          <w:szCs w:val="21"/>
          <w:shd w:val="clear" w:color="auto" w:fill="FFFFFF"/>
        </w:rPr>
        <w:t>三位哲学家对她的演讲进行了严谨而不留情面的回应，法律学者埃里克·拉科夫斯基教授也为本书撰写了引言……这本书的核心是卡姆和汤姆森之间新鲜的</w:t>
      </w:r>
      <w:r>
        <w:rPr>
          <w:rFonts w:ascii="Segoe UI" w:hAnsi="Segoe UI" w:cs="Segoe UI"/>
          <w:szCs w:val="21"/>
        </w:rPr>
        <w:t>而锐利的</w:t>
      </w:r>
      <w:r>
        <w:rPr>
          <w:rFonts w:hint="eastAsia"/>
          <w:bCs/>
          <w:kern w:val="0"/>
          <w:szCs w:val="21"/>
          <w:shd w:val="clear" w:color="auto" w:fill="FFFFFF"/>
        </w:rPr>
        <w:t>分析性争吵……这本书的出版时机恰到好处……很大程度上是因为它与新兴的关于如何为自动驾驶车辆（如军用无人机或无人驾驶汽车）编程才能符合道德规范的问题有着惊人的相似之处。”</w:t>
      </w:r>
    </w:p>
    <w:p>
      <w:pPr>
        <w:widowControl/>
        <w:shd w:val="clear" w:color="auto" w:fill="FFFFFF"/>
        <w:spacing w:line="330" w:lineRule="atLeast"/>
        <w:ind w:firstLine="420" w:firstLineChars="200"/>
        <w:jc w:val="right"/>
        <w:rPr>
          <w:rFonts w:hint="eastAsia"/>
          <w:bCs/>
          <w:kern w:val="0"/>
          <w:szCs w:val="21"/>
          <w:shd w:val="clear" w:color="auto" w:fill="FFFFFF"/>
        </w:rPr>
      </w:pPr>
      <w:r>
        <w:rPr>
          <w:bCs/>
          <w:kern w:val="0"/>
          <w:szCs w:val="21"/>
          <w:shd w:val="clear" w:color="auto" w:fill="FFFFFF"/>
        </w:rPr>
        <w:t>----《</w:t>
      </w:r>
      <w:r>
        <w:rPr>
          <w:rFonts w:hint="eastAsia"/>
          <w:bCs/>
          <w:kern w:val="0"/>
          <w:szCs w:val="21"/>
          <w:shd w:val="clear" w:color="auto" w:fill="FFFFFF"/>
        </w:rPr>
        <w:t>哈佛法律评论</w:t>
      </w:r>
      <w:r>
        <w:rPr>
          <w:bCs/>
          <w:kern w:val="0"/>
          <w:szCs w:val="21"/>
          <w:shd w:val="clear" w:color="auto" w:fill="FFFFFF"/>
        </w:rPr>
        <w:t>》（</w:t>
      </w:r>
      <w:r>
        <w:rPr>
          <w:i/>
          <w:iCs/>
          <w:szCs w:val="21"/>
          <w:shd w:val="clear" w:color="auto" w:fill="FFFFFF"/>
        </w:rPr>
        <w:t>Harvard Law Review</w:t>
      </w:r>
      <w:r>
        <w:rPr>
          <w:bCs/>
          <w:kern w:val="0"/>
          <w:szCs w:val="21"/>
          <w:shd w:val="clear" w:color="auto" w:fill="FFFFFF"/>
        </w:rPr>
        <w:t>）</w:t>
      </w:r>
    </w:p>
    <w:p>
      <w:pPr>
        <w:widowControl/>
        <w:shd w:val="clear" w:color="auto" w:fill="FFFFFF"/>
        <w:spacing w:line="330" w:lineRule="atLeast"/>
        <w:rPr>
          <w:bCs/>
          <w:kern w:val="0"/>
          <w:szCs w:val="21"/>
          <w:shd w:val="clear" w:color="auto" w:fill="FFFFFF"/>
        </w:rPr>
      </w:pPr>
    </w:p>
    <w:p>
      <w:pPr>
        <w:widowControl/>
        <w:shd w:val="clear" w:color="auto" w:fill="FFFFFF"/>
        <w:spacing w:line="330" w:lineRule="atLeast"/>
        <w:rPr>
          <w:bCs/>
          <w:kern w:val="0"/>
          <w:szCs w:val="21"/>
          <w:shd w:val="clear" w:color="auto" w:fill="FFFFFF"/>
        </w:rPr>
      </w:pPr>
    </w:p>
    <w:p>
      <w:pPr>
        <w:jc w:val="center"/>
        <w:rPr>
          <w:b/>
          <w:bCs/>
          <w:sz w:val="30"/>
          <w:szCs w:val="30"/>
        </w:rPr>
      </w:pPr>
      <w:bookmarkStart w:id="0" w:name="OLE_LINK43"/>
      <w:bookmarkStart w:id="1" w:name="OLE_LINK38"/>
      <w:r>
        <w:rPr>
          <w:rFonts w:hint="eastAsia"/>
          <w:b/>
          <w:bCs/>
          <w:sz w:val="30"/>
          <w:szCs w:val="30"/>
        </w:rPr>
        <w:t>《电车难题之谜》</w:t>
      </w:r>
    </w:p>
    <w:p>
      <w:pPr>
        <w:jc w:val="center"/>
        <w:rPr>
          <w:szCs w:val="21"/>
        </w:rPr>
      </w:pPr>
    </w:p>
    <w:p>
      <w:pPr>
        <w:jc w:val="center"/>
        <w:rPr>
          <w:rFonts w:hint="eastAsia"/>
          <w:szCs w:val="21"/>
        </w:rPr>
      </w:pPr>
      <w:r>
        <w:rPr>
          <w:rFonts w:hint="eastAsia"/>
          <w:szCs w:val="21"/>
        </w:rPr>
        <w:t>编著者简介</w:t>
      </w:r>
    </w:p>
    <w:p>
      <w:pPr>
        <w:jc w:val="center"/>
        <w:rPr>
          <w:szCs w:val="21"/>
        </w:rPr>
      </w:pPr>
      <w:r>
        <w:rPr>
          <w:rFonts w:hint="eastAsia"/>
          <w:szCs w:val="21"/>
        </w:rPr>
        <w:t>引言 / 埃里克·拉科夫斯基</w:t>
      </w:r>
    </w:p>
    <w:p>
      <w:pPr>
        <w:jc w:val="center"/>
        <w:rPr>
          <w:rFonts w:hint="eastAsia"/>
          <w:szCs w:val="21"/>
        </w:rPr>
      </w:pPr>
    </w:p>
    <w:p>
      <w:pPr>
        <w:jc w:val="center"/>
        <w:rPr>
          <w:rFonts w:hint="eastAsia"/>
          <w:szCs w:val="21"/>
        </w:rPr>
      </w:pPr>
      <w:r>
        <w:rPr>
          <w:rFonts w:hint="eastAsia"/>
          <w:szCs w:val="21"/>
        </w:rPr>
        <w:t>电车难题之谜 / 弗朗西丝·卡姆</w:t>
      </w:r>
    </w:p>
    <w:p>
      <w:pPr>
        <w:jc w:val="center"/>
        <w:rPr>
          <w:rFonts w:hint="eastAsia"/>
          <w:szCs w:val="21"/>
        </w:rPr>
      </w:pPr>
      <w:r>
        <w:rPr>
          <w:rFonts w:hint="eastAsia"/>
          <w:szCs w:val="21"/>
        </w:rPr>
        <w:t>讲座一：谁改变了电车的方向？</w:t>
      </w:r>
    </w:p>
    <w:p>
      <w:pPr>
        <w:jc w:val="center"/>
        <w:rPr>
          <w:szCs w:val="21"/>
        </w:rPr>
      </w:pPr>
      <w:r>
        <w:rPr>
          <w:rFonts w:hint="eastAsia"/>
          <w:szCs w:val="21"/>
        </w:rPr>
        <w:t>讲座二：电车是如何被改变方向的？</w:t>
      </w:r>
    </w:p>
    <w:p>
      <w:pPr>
        <w:jc w:val="center"/>
        <w:rPr>
          <w:rFonts w:hint="eastAsia"/>
          <w:szCs w:val="21"/>
        </w:rPr>
      </w:pPr>
    </w:p>
    <w:p>
      <w:pPr>
        <w:jc w:val="center"/>
        <w:rPr>
          <w:rFonts w:hint="eastAsia"/>
          <w:szCs w:val="21"/>
        </w:rPr>
      </w:pPr>
      <w:r>
        <w:rPr>
          <w:rFonts w:hint="eastAsia"/>
          <w:szCs w:val="21"/>
        </w:rPr>
        <w:t>评论</w:t>
      </w:r>
    </w:p>
    <w:p>
      <w:pPr>
        <w:jc w:val="center"/>
        <w:rPr>
          <w:rFonts w:hint="eastAsia"/>
          <w:szCs w:val="21"/>
        </w:rPr>
      </w:pPr>
      <w:r>
        <w:rPr>
          <w:rFonts w:hint="eastAsia"/>
          <w:szCs w:val="21"/>
        </w:rPr>
        <w:t>卡姆关于电车难题的研究 / 朱迪思·贾维斯·汤姆森</w:t>
      </w:r>
    </w:p>
    <w:p>
      <w:pPr>
        <w:jc w:val="center"/>
        <w:rPr>
          <w:rFonts w:hint="eastAsia"/>
          <w:szCs w:val="21"/>
        </w:rPr>
      </w:pPr>
      <w:r>
        <w:rPr>
          <w:rFonts w:hint="eastAsia"/>
          <w:szCs w:val="21"/>
        </w:rPr>
        <w:t>电车与可允许性伤害 / 托马斯·胡尔卡</w:t>
      </w:r>
    </w:p>
    <w:p>
      <w:pPr>
        <w:jc w:val="center"/>
        <w:rPr>
          <w:rFonts w:hint="eastAsia"/>
          <w:szCs w:val="21"/>
        </w:rPr>
      </w:pPr>
      <w:r>
        <w:rPr>
          <w:rFonts w:hint="eastAsia"/>
          <w:szCs w:val="21"/>
        </w:rPr>
        <w:t>解开电车难题 / 谢利·卡根</w:t>
      </w:r>
    </w:p>
    <w:p>
      <w:pPr>
        <w:jc w:val="center"/>
        <w:rPr>
          <w:rFonts w:hint="eastAsia"/>
          <w:szCs w:val="21"/>
        </w:rPr>
      </w:pPr>
      <w:r>
        <w:rPr>
          <w:rFonts w:hint="eastAsia"/>
          <w:szCs w:val="21"/>
        </w:rPr>
        <w:t>对评论者的回应 / 弗朗西丝·卡姆</w:t>
      </w:r>
    </w:p>
    <w:p>
      <w:pPr>
        <w:jc w:val="center"/>
        <w:rPr>
          <w:rFonts w:hint="eastAsia"/>
          <w:szCs w:val="21"/>
        </w:rPr>
      </w:pPr>
      <w:r>
        <w:rPr>
          <w:rFonts w:hint="eastAsia"/>
          <w:szCs w:val="21"/>
        </w:rPr>
        <w:t>考验中的电车难题之谜：为电车难题辩护，一种解决方案与一种伦理学方法</w:t>
      </w:r>
    </w:p>
    <w:p>
      <w:pPr>
        <w:jc w:val="center"/>
        <w:rPr>
          <w:szCs w:val="21"/>
        </w:rPr>
      </w:pPr>
    </w:p>
    <w:p>
      <w:pPr>
        <w:jc w:val="center"/>
        <w:rPr>
          <w:rFonts w:hint="eastAsia"/>
          <w:szCs w:val="21"/>
        </w:rPr>
      </w:pPr>
      <w:r>
        <w:rPr>
          <w:rFonts w:hint="eastAsia"/>
          <w:szCs w:val="21"/>
        </w:rPr>
        <w:t>案例示意图</w:t>
      </w:r>
    </w:p>
    <w:p>
      <w:pPr>
        <w:jc w:val="center"/>
        <w:rPr>
          <w:szCs w:val="21"/>
        </w:rPr>
      </w:pPr>
      <w:r>
        <w:rPr>
          <w:rFonts w:hint="eastAsia"/>
          <w:szCs w:val="21"/>
        </w:rPr>
        <w:t>名称索引</w:t>
      </w:r>
    </w:p>
    <w:p>
      <w:pPr>
        <w:jc w:val="center"/>
        <w:rPr>
          <w:rFonts w:hint="eastAsia"/>
          <w:color w:val="000000"/>
          <w:szCs w:val="21"/>
        </w:rPr>
      </w:pPr>
    </w:p>
    <w:p>
      <w:pPr>
        <w:shd w:val="clear" w:color="auto" w:fill="FFFFFF"/>
        <w:rPr>
          <w:rStyle w:val="16"/>
          <w:rFonts w:ascii="宋体" w:hAnsi="宋体" w:cs="宋体"/>
          <w:sz w:val="24"/>
        </w:rPr>
      </w:pPr>
      <w:r>
        <w:fldChar w:fldCharType="begin"/>
      </w:r>
      <w:r>
        <w:instrText xml:space="preserve"> HYPERLINK "https://book.douban.com/subject/30401273/" </w:instrText>
      </w:r>
      <w:r>
        <w:fldChar w:fldCharType="separate"/>
      </w:r>
      <w:r>
        <w:rPr>
          <w:rStyle w:val="16"/>
          <w:rFonts w:ascii="宋体" w:hAnsi="宋体" w:cs="宋体"/>
          <w:sz w:val="24"/>
        </w:rPr>
        <w:t>电车难题之谜 (豆瓣) (douban.com)</w:t>
      </w:r>
      <w:r>
        <w:rPr>
          <w:rStyle w:val="16"/>
          <w:rFonts w:ascii="宋体" w:hAnsi="宋体" w:cs="宋体"/>
          <w:sz w:val="24"/>
        </w:rPr>
        <w:fldChar w:fldCharType="end"/>
      </w:r>
    </w:p>
    <w:p>
      <w:pPr>
        <w:shd w:val="clear" w:color="auto" w:fill="FFFFFF"/>
        <w:rPr>
          <w:rStyle w:val="16"/>
          <w:rFonts w:ascii="宋体" w:hAnsi="宋体" w:cs="宋体"/>
          <w:sz w:val="24"/>
        </w:rPr>
      </w:pPr>
    </w:p>
    <w:p>
      <w:pPr>
        <w:shd w:val="clear" w:color="auto" w:fill="FFFFFF"/>
        <w:rPr>
          <w:rStyle w:val="16"/>
          <w:rFonts w:hint="eastAsia" w:ascii="宋体" w:hAnsi="宋体" w:cs="宋体"/>
          <w:sz w:val="24"/>
        </w:rPr>
      </w:pPr>
    </w:p>
    <w:p>
      <w:pPr>
        <w:shd w:val="clear" w:color="auto" w:fill="FFFFFF"/>
        <w:rPr>
          <w:color w:val="000000"/>
          <w:szCs w:val="21"/>
        </w:rPr>
      </w:pPr>
      <w:r>
        <w:rPr>
          <w:b/>
          <w:bCs/>
          <w:color w:val="000000"/>
          <w:szCs w:val="21"/>
        </w:rPr>
        <w:t>感谢您的阅读！</w:t>
      </w:r>
    </w:p>
    <w:p>
      <w:pPr>
        <w:rPr>
          <w:b/>
          <w:color w:val="000000"/>
          <w:szCs w:val="21"/>
        </w:rPr>
      </w:pPr>
      <w:r>
        <w:rPr>
          <w:b/>
          <w:color w:val="000000"/>
          <w:szCs w:val="21"/>
        </w:rPr>
        <w:t>请将反馈信息发至：版权负责人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 邮编：100872</w:t>
      </w:r>
    </w:p>
    <w:p>
      <w:pPr>
        <w:rPr>
          <w:b/>
          <w:color w:val="000000"/>
          <w:szCs w:val="21"/>
        </w:rPr>
      </w:pPr>
      <w:r>
        <w:rPr>
          <w:color w:val="000000"/>
          <w:szCs w:val="21"/>
        </w:rPr>
        <w:t>电话：010-82504106, 传真：010-82504200</w:t>
      </w:r>
    </w:p>
    <w:p>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rPr>
      </w:pPr>
      <w:r>
        <w:rPr>
          <w:color w:val="000000"/>
          <w:szCs w:val="21"/>
        </w:rPr>
        <w:t>微信订阅号：ANABJ2002</w:t>
      </w:r>
    </w:p>
    <w:bookmarkEnd w:id="0"/>
    <w:bookmarkEnd w:id="1"/>
    <w:p>
      <w:pPr>
        <w:ind w:right="420"/>
        <w:rPr>
          <w:kern w:val="0"/>
          <w:szCs w:val="21"/>
        </w:rPr>
      </w:pPr>
      <w:r>
        <w:rPr>
          <w:bCs/>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4E41"/>
    <w:rsid w:val="001017C7"/>
    <w:rsid w:val="00102500"/>
    <w:rsid w:val="00110260"/>
    <w:rsid w:val="0011264B"/>
    <w:rsid w:val="00121268"/>
    <w:rsid w:val="00132921"/>
    <w:rsid w:val="00134987"/>
    <w:rsid w:val="00146F1E"/>
    <w:rsid w:val="00163F80"/>
    <w:rsid w:val="00167007"/>
    <w:rsid w:val="00193733"/>
    <w:rsid w:val="00195D6F"/>
    <w:rsid w:val="001B2196"/>
    <w:rsid w:val="001B679D"/>
    <w:rsid w:val="001C6D65"/>
    <w:rsid w:val="001D0115"/>
    <w:rsid w:val="001D0FAF"/>
    <w:rsid w:val="001D4E4F"/>
    <w:rsid w:val="001E1FC4"/>
    <w:rsid w:val="001F0F15"/>
    <w:rsid w:val="002068EA"/>
    <w:rsid w:val="002132BA"/>
    <w:rsid w:val="00215BF8"/>
    <w:rsid w:val="002243E8"/>
    <w:rsid w:val="00236060"/>
    <w:rsid w:val="00240C24"/>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180D"/>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E04ED"/>
    <w:rsid w:val="004F6FDA"/>
    <w:rsid w:val="0050133A"/>
    <w:rsid w:val="00504574"/>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2E16"/>
    <w:rsid w:val="0061366F"/>
    <w:rsid w:val="00616A0F"/>
    <w:rsid w:val="006176AA"/>
    <w:rsid w:val="00655FA9"/>
    <w:rsid w:val="006656BA"/>
    <w:rsid w:val="00667C85"/>
    <w:rsid w:val="00680EFB"/>
    <w:rsid w:val="006A0672"/>
    <w:rsid w:val="006B6CAB"/>
    <w:rsid w:val="006C50CF"/>
    <w:rsid w:val="006D37ED"/>
    <w:rsid w:val="006E2E2E"/>
    <w:rsid w:val="006F2570"/>
    <w:rsid w:val="00706BDA"/>
    <w:rsid w:val="007078E0"/>
    <w:rsid w:val="00715F9D"/>
    <w:rsid w:val="007419C0"/>
    <w:rsid w:val="00747520"/>
    <w:rsid w:val="0075196D"/>
    <w:rsid w:val="00780291"/>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3134F"/>
    <w:rsid w:val="00881B76"/>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42E7"/>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AF1DDD"/>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0848"/>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A1DDF"/>
    <w:rsid w:val="00CB6027"/>
    <w:rsid w:val="00CC69DA"/>
    <w:rsid w:val="00CD3036"/>
    <w:rsid w:val="00CD409A"/>
    <w:rsid w:val="00D068E5"/>
    <w:rsid w:val="00D17732"/>
    <w:rsid w:val="00D24A70"/>
    <w:rsid w:val="00D24E00"/>
    <w:rsid w:val="00D341FB"/>
    <w:rsid w:val="00D37AE5"/>
    <w:rsid w:val="00D500BB"/>
    <w:rsid w:val="00D5176B"/>
    <w:rsid w:val="00D55CF3"/>
    <w:rsid w:val="00D56A6F"/>
    <w:rsid w:val="00D56DBD"/>
    <w:rsid w:val="00D602FF"/>
    <w:rsid w:val="00D63010"/>
    <w:rsid w:val="00D64EE2"/>
    <w:rsid w:val="00D738A1"/>
    <w:rsid w:val="00D762D4"/>
    <w:rsid w:val="00D76715"/>
    <w:rsid w:val="00DB3297"/>
    <w:rsid w:val="00DB7D8F"/>
    <w:rsid w:val="00DF0BB7"/>
    <w:rsid w:val="00E00CC0"/>
    <w:rsid w:val="00E03E1F"/>
    <w:rsid w:val="00E132E9"/>
    <w:rsid w:val="00E15659"/>
    <w:rsid w:val="00E43598"/>
    <w:rsid w:val="00E509A5"/>
    <w:rsid w:val="00E54E5E"/>
    <w:rsid w:val="00E557C1"/>
    <w:rsid w:val="00E65115"/>
    <w:rsid w:val="00E725A1"/>
    <w:rsid w:val="00E95831"/>
    <w:rsid w:val="00EA6987"/>
    <w:rsid w:val="00EA74CC"/>
    <w:rsid w:val="00EB27B1"/>
    <w:rsid w:val="00EB6169"/>
    <w:rsid w:val="00EC129D"/>
    <w:rsid w:val="00ED1D72"/>
    <w:rsid w:val="00EE4676"/>
    <w:rsid w:val="00EF60DB"/>
    <w:rsid w:val="00F033EC"/>
    <w:rsid w:val="00F13E81"/>
    <w:rsid w:val="00F25456"/>
    <w:rsid w:val="00F26218"/>
    <w:rsid w:val="00F331B4"/>
    <w:rsid w:val="00F34420"/>
    <w:rsid w:val="00F34483"/>
    <w:rsid w:val="00F349FA"/>
    <w:rsid w:val="00F54836"/>
    <w:rsid w:val="00F57001"/>
    <w:rsid w:val="00F578E8"/>
    <w:rsid w:val="00F57900"/>
    <w:rsid w:val="00F668A4"/>
    <w:rsid w:val="00F80E8A"/>
    <w:rsid w:val="00F90F67"/>
    <w:rsid w:val="00F934BA"/>
    <w:rsid w:val="00FA2346"/>
    <w:rsid w:val="00FB277E"/>
    <w:rsid w:val="00FB5963"/>
    <w:rsid w:val="00FC3699"/>
    <w:rsid w:val="00FD049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3909B8"/>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544</Words>
  <Characters>3104</Characters>
  <Lines>25</Lines>
  <Paragraphs>7</Paragraphs>
  <TotalTime>112</TotalTime>
  <ScaleCrop>false</ScaleCrop>
  <LinksUpToDate>false</LinksUpToDate>
  <CharactersWithSpaces>3641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2023-11-16T03:34:00Z</dcterms:created>
  <dc:creator>Image</dc:creator>
  <cp:lastModifiedBy>Jessica_Wu</cp:lastModifiedBy>
  <cp:lastPrinted>2005-06-10T06:33:00Z</cp:lastPrinted>
  <dcterms:modified xsi:type="dcterms:W3CDTF">2023-11-27T02:21:05Z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DE07CE8D4BCD4F4EA310D6F0A43FE3F6</vt:lpwstr>
  </property>
</Properties>
</file>