
<file path=[Content_Types].xml><?xml version="1.0" encoding="utf-8"?>
<Types xmlns="http://schemas.openxmlformats.org/package/2006/content-types">
  <Default Extension="jpeg" ContentType="image/jpeg"/>
  <Default Extension="JPG" ContentType="image/.jp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8" w:name="_GoBack"/>
      <w:bookmarkEnd w:id="8"/>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0288" behindDoc="0" locked="0" layoutInCell="1" allowOverlap="1">
            <wp:simplePos x="0" y="0"/>
            <wp:positionH relativeFrom="column">
              <wp:posOffset>4039870</wp:posOffset>
            </wp:positionH>
            <wp:positionV relativeFrom="paragraph">
              <wp:posOffset>63500</wp:posOffset>
            </wp:positionV>
            <wp:extent cx="1828800" cy="19939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28800" cy="1993900"/>
                    </a:xfrm>
                    <a:prstGeom prst="rect">
                      <a:avLst/>
                    </a:prstGeom>
                  </pic:spPr>
                </pic:pic>
              </a:graphicData>
            </a:graphic>
          </wp:anchor>
        </w:drawing>
      </w:r>
      <w:r>
        <w:rPr>
          <w:b/>
          <w:bCs/>
          <w:szCs w:val="21"/>
        </w:rPr>
        <w:t>中文书名</w:t>
      </w:r>
      <w:r>
        <w:rPr>
          <w:rFonts w:hint="eastAsia"/>
          <w:b/>
          <w:bCs/>
          <w:szCs w:val="21"/>
        </w:rPr>
        <w:t>：《去中心化金融与代币化：智能合约与游戏化的未来趋势》</w:t>
      </w:r>
    </w:p>
    <w:p>
      <w:pPr>
        <w:tabs>
          <w:tab w:val="left" w:pos="341"/>
          <w:tab w:val="left" w:pos="5235"/>
        </w:tabs>
        <w:jc w:val="left"/>
        <w:rPr>
          <w:b/>
          <w:bCs/>
          <w:szCs w:val="21"/>
        </w:rPr>
      </w:pPr>
      <w:r>
        <w:rPr>
          <w:b/>
          <w:bCs/>
          <w:szCs w:val="21"/>
        </w:rPr>
        <w:t>英文书名：DECENTRALIZED FINANCE AND TOKENIZATION: Trends for the future between smart contracts and gamification</w:t>
      </w:r>
    </w:p>
    <w:p>
      <w:pPr>
        <w:tabs>
          <w:tab w:val="left" w:pos="341"/>
          <w:tab w:val="left" w:pos="5235"/>
        </w:tabs>
        <w:jc w:val="left"/>
        <w:rPr>
          <w:b/>
          <w:bCs/>
          <w:szCs w:val="21"/>
        </w:rPr>
      </w:pPr>
      <w:r>
        <w:rPr>
          <w:rFonts w:hint="eastAsia"/>
          <w:b/>
          <w:bCs/>
          <w:szCs w:val="21"/>
        </w:rPr>
        <w:t>德文书名：</w:t>
      </w:r>
      <w:r>
        <w:rPr>
          <w:b/>
          <w:bCs/>
          <w:szCs w:val="21"/>
        </w:rPr>
        <w:t>Decentralized Finance und Tokenisierung: Zukunftsweisende Trends zwischen Smart Contracts und Gamification</w:t>
      </w:r>
    </w:p>
    <w:p>
      <w:pPr>
        <w:tabs>
          <w:tab w:val="left" w:pos="341"/>
          <w:tab w:val="left" w:pos="5235"/>
        </w:tabs>
        <w:rPr>
          <w:b/>
          <w:bCs/>
          <w:szCs w:val="21"/>
        </w:rPr>
      </w:pPr>
      <w:r>
        <w:rPr>
          <w:b/>
          <w:bCs/>
          <w:szCs w:val="21"/>
        </w:rPr>
        <w:t>作    者：Udo Milkau</w:t>
      </w:r>
    </w:p>
    <w:p>
      <w:pPr>
        <w:tabs>
          <w:tab w:val="left" w:pos="341"/>
          <w:tab w:val="left" w:pos="5235"/>
        </w:tabs>
        <w:rPr>
          <w:b/>
          <w:bCs/>
          <w:szCs w:val="21"/>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：Schäffer Poeschel</w:t>
      </w:r>
    </w:p>
    <w:p>
      <w:pPr>
        <w:tabs>
          <w:tab w:val="left" w:pos="341"/>
          <w:tab w:val="left" w:pos="5235"/>
        </w:tabs>
        <w:rPr>
          <w:b/>
          <w:bCs/>
          <w:szCs w:val="21"/>
        </w:rPr>
      </w:pPr>
      <w:r>
        <w:rPr>
          <w:b/>
          <w:bCs/>
          <w:szCs w:val="21"/>
        </w:rPr>
        <w:t>代理公司：</w:t>
      </w:r>
      <w:r>
        <w:rPr>
          <w:rFonts w:hint="eastAsia"/>
          <w:b/>
          <w:bCs/>
          <w:szCs w:val="21"/>
        </w:rPr>
        <w:t>A</w:t>
      </w:r>
      <w:r>
        <w:rPr>
          <w:b/>
          <w:bCs/>
          <w:szCs w:val="21"/>
        </w:rPr>
        <w:t>NA/Lauren</w:t>
      </w:r>
    </w:p>
    <w:p>
      <w:pPr>
        <w:tabs>
          <w:tab w:val="left" w:pos="341"/>
          <w:tab w:val="left" w:pos="5235"/>
        </w:tabs>
        <w:rPr>
          <w:b/>
          <w:bCs/>
          <w:szCs w:val="21"/>
        </w:rPr>
      </w:pPr>
      <w:r>
        <w:rPr>
          <w:b/>
          <w:bCs/>
          <w:szCs w:val="21"/>
        </w:rPr>
        <w:t>出版时间：</w:t>
      </w:r>
      <w:r>
        <w:rPr>
          <w:rFonts w:hint="eastAsia"/>
          <w:b/>
          <w:bCs/>
          <w:szCs w:val="21"/>
        </w:rPr>
        <w:t>2</w:t>
      </w:r>
      <w:r>
        <w:rPr>
          <w:b/>
          <w:bCs/>
          <w:szCs w:val="21"/>
        </w:rPr>
        <w:t>023</w:t>
      </w:r>
      <w:r>
        <w:rPr>
          <w:rFonts w:hint="eastAsia"/>
          <w:b/>
          <w:bCs/>
          <w:szCs w:val="21"/>
        </w:rPr>
        <w:t>年</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数：344</w:t>
      </w:r>
      <w:r>
        <w:rPr>
          <w:rFonts w:hint="eastAsia"/>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金融投资</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bookmarkEnd w:id="0"/>
    <w:bookmarkEnd w:id="1"/>
    <w:p>
      <w:pPr>
        <w:autoSpaceDE w:val="0"/>
        <w:autoSpaceDN w:val="0"/>
        <w:adjustRightInd w:val="0"/>
        <w:ind w:firstLine="420"/>
      </w:pPr>
      <w:r>
        <w:rPr>
          <w:rFonts w:hint="eastAsia"/>
        </w:rPr>
        <w:t>去中心化金融涉及多少去中心化和多少实体经济融资？代币是什么？代币化有哪些好处？代币之间的交易是否已经预示着影子银行 2.0 系统的到来？游戏化的大趋势对去中心化金融和代币有何影响？游戏、赌博和利用信息不对称之间的界限在哪里？监管部门可以采取哪些应对措施来维护客户和投资者的利益，并避免对金融稳定的潜在威胁？</w:t>
      </w:r>
    </w:p>
    <w:p>
      <w:pPr>
        <w:autoSpaceDE w:val="0"/>
        <w:autoSpaceDN w:val="0"/>
        <w:adjustRightInd w:val="0"/>
        <w:ind w:firstLine="420"/>
      </w:pPr>
    </w:p>
    <w:p>
      <w:pPr>
        <w:autoSpaceDE w:val="0"/>
        <w:autoSpaceDN w:val="0"/>
        <w:adjustRightInd w:val="0"/>
      </w:pPr>
      <w:r>
        <w:rPr>
          <w:rFonts w:hint="eastAsia"/>
        </w:rPr>
        <w:t xml:space="preserve"> </w:t>
      </w:r>
      <w:r>
        <w:t xml:space="preserve">   </w:t>
      </w:r>
      <w:r>
        <w:rPr>
          <w:rFonts w:hint="eastAsia"/>
        </w:rPr>
        <w:t>本书回答了上述以及相关问题，并讨论了银行或证券交易所等传统中介机构是否可以被纯技术架构所取代，从而建立一个更高效、更具成本效益的金融体系。本书从跨学科的角度概述了去中心化金融和代币化的各个方面，为学者、从业人员、律师、银行监管人员和对此感兴趣的学生提供了不可或缺的参考内容。</w:t>
      </w:r>
    </w:p>
    <w:p>
      <w:pPr>
        <w:autoSpaceDE w:val="0"/>
        <w:autoSpaceDN w:val="0"/>
        <w:adjustRightInd w:val="0"/>
        <w:rPr>
          <w:b/>
          <w:bCs/>
          <w:kern w:val="0"/>
          <w:szCs w:val="21"/>
        </w:rPr>
      </w:pPr>
    </w:p>
    <w:p>
      <w:pPr>
        <w:autoSpaceDE w:val="0"/>
        <w:autoSpaceDN w:val="0"/>
        <w:adjustRightInd w:val="0"/>
        <w:rPr>
          <w:b/>
          <w:bCs/>
          <w:kern w:val="0"/>
          <w:szCs w:val="21"/>
        </w:rPr>
      </w:pPr>
      <w:r>
        <w:rPr>
          <w:rFonts w:hint="eastAsia"/>
          <w:b/>
          <w:bCs/>
          <w:kern w:val="0"/>
          <w:szCs w:val="21"/>
        </w:rPr>
        <w:t>作者简介：</w:t>
      </w:r>
    </w:p>
    <w:bookmarkEnd w:id="2"/>
    <w:bookmarkEnd w:id="3"/>
    <w:p>
      <w:pPr>
        <w:pStyle w:val="40"/>
      </w:pPr>
    </w:p>
    <w:p>
      <w:pPr>
        <w:shd w:val="clear" w:color="auto" w:fill="FFFFFF"/>
        <w:rPr>
          <w:color w:val="000000"/>
          <w:szCs w:val="21"/>
        </w:rPr>
      </w:pPr>
      <w:bookmarkStart w:id="4" w:name="OLE_LINK43"/>
      <w:bookmarkStart w:id="5" w:name="OLE_LINK45"/>
      <w:bookmarkStart w:id="6" w:name="OLE_LINK44"/>
      <w:bookmarkStart w:id="7" w:name="OLE_LINK38"/>
      <w:r>
        <w:drawing>
          <wp:anchor distT="0" distB="0" distL="114300" distR="114300" simplePos="0" relativeHeight="251659264" behindDoc="0" locked="0" layoutInCell="1" allowOverlap="1">
            <wp:simplePos x="0" y="0"/>
            <wp:positionH relativeFrom="margin">
              <wp:align>left</wp:align>
            </wp:positionH>
            <wp:positionV relativeFrom="paragraph">
              <wp:posOffset>14605</wp:posOffset>
            </wp:positionV>
            <wp:extent cx="1178560" cy="1178560"/>
            <wp:effectExtent l="0" t="0" r="2540" b="2540"/>
            <wp:wrapSquare wrapText="bothSides"/>
            <wp:docPr id="1" name="Picture 1" descr="Udo Milkau - Ris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do Milkau - Risk.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78560" cy="1178560"/>
                    </a:xfrm>
                    <a:prstGeom prst="rect">
                      <a:avLst/>
                    </a:prstGeom>
                    <a:noFill/>
                    <a:ln>
                      <a:noFill/>
                    </a:ln>
                  </pic:spPr>
                </pic:pic>
              </a:graphicData>
            </a:graphic>
          </wp:anchor>
        </w:drawing>
      </w:r>
      <w:r>
        <w:rPr>
          <w:rFonts w:hint="eastAsia"/>
          <w:b/>
          <w:bCs/>
          <w:color w:val="000000"/>
          <w:szCs w:val="21"/>
        </w:rPr>
        <w:t xml:space="preserve"> </w:t>
      </w:r>
      <w:r>
        <w:rPr>
          <w:b/>
          <w:bCs/>
          <w:color w:val="000000"/>
          <w:szCs w:val="21"/>
        </w:rPr>
        <w:t xml:space="preserve">   </w:t>
      </w:r>
      <w:r>
        <w:rPr>
          <w:rFonts w:hint="eastAsia"/>
          <w:b/>
          <w:bCs/>
          <w:color w:val="000000"/>
          <w:szCs w:val="21"/>
        </w:rPr>
        <w:t>乌多·米尔考（Udo Milkau）</w:t>
      </w:r>
      <w:r>
        <w:rPr>
          <w:rFonts w:hint="eastAsia"/>
          <w:color w:val="000000"/>
          <w:szCs w:val="21"/>
        </w:rPr>
        <w:t>博士曾在一家金融机构交易银行业务部门担任首席数字官。他在资产管理、支付和证券处理、运营风险管理和加密资产等银行业务领域拥有丰富的经验。他还在位于莫斯巴赫（M</w:t>
      </w:r>
      <w:r>
        <w:rPr>
          <w:color w:val="000000"/>
          <w:szCs w:val="21"/>
        </w:rPr>
        <w:t>osbach</w:t>
      </w:r>
      <w:r>
        <w:rPr>
          <w:rFonts w:hint="eastAsia"/>
          <w:color w:val="000000"/>
          <w:szCs w:val="21"/>
        </w:rPr>
        <w:t>）的巴登符腾堡州立合作大学（</w:t>
      </w:r>
      <w:r>
        <w:rPr>
          <w:color w:val="000000"/>
          <w:szCs w:val="21"/>
        </w:rPr>
        <w:t>Baden-Württemberg Cooperative State University</w:t>
      </w:r>
      <w:r>
        <w:rPr>
          <w:rFonts w:hint="eastAsia"/>
          <w:color w:val="000000"/>
          <w:szCs w:val="21"/>
        </w:rPr>
        <w:t>）担任讲师。</w:t>
      </w: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17"/>
          <w:rFonts w:hint="eastAsia"/>
          <w:b/>
          <w:szCs w:val="21"/>
          <w:lang w:val="de-DE"/>
        </w:rPr>
        <w:t>Righ</w:t>
      </w:r>
      <w:r>
        <w:rPr>
          <w:rStyle w:val="17"/>
          <w:b/>
          <w:szCs w:val="21"/>
          <w:lang w:val="de-DE"/>
        </w:rPr>
        <w:t>ts@nurnberg.com.cn</w:t>
      </w:r>
      <w:r>
        <w:rPr>
          <w:rStyle w:val="17"/>
          <w:b/>
          <w:szCs w:val="21"/>
          <w:lang w:val="de-DE"/>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960"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66DDB"/>
    <w:rsid w:val="00070F1F"/>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0B2E"/>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8AB"/>
    <w:rsid w:val="00105F69"/>
    <w:rsid w:val="001065BD"/>
    <w:rsid w:val="00110260"/>
    <w:rsid w:val="0011264B"/>
    <w:rsid w:val="00114035"/>
    <w:rsid w:val="001142C8"/>
    <w:rsid w:val="00115ACB"/>
    <w:rsid w:val="00121268"/>
    <w:rsid w:val="00123E33"/>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0E95"/>
    <w:rsid w:val="00186F61"/>
    <w:rsid w:val="001935F1"/>
    <w:rsid w:val="00193733"/>
    <w:rsid w:val="00195459"/>
    <w:rsid w:val="0019586E"/>
    <w:rsid w:val="00196295"/>
    <w:rsid w:val="00196FA1"/>
    <w:rsid w:val="001A0B99"/>
    <w:rsid w:val="001A0C48"/>
    <w:rsid w:val="001A2492"/>
    <w:rsid w:val="001A49D0"/>
    <w:rsid w:val="001A5988"/>
    <w:rsid w:val="001B14BF"/>
    <w:rsid w:val="001B2196"/>
    <w:rsid w:val="001B5AF0"/>
    <w:rsid w:val="001B679D"/>
    <w:rsid w:val="001B747D"/>
    <w:rsid w:val="001C2558"/>
    <w:rsid w:val="001C405E"/>
    <w:rsid w:val="001C6D65"/>
    <w:rsid w:val="001D0FAF"/>
    <w:rsid w:val="001D2DF1"/>
    <w:rsid w:val="001D43CE"/>
    <w:rsid w:val="001D4E4F"/>
    <w:rsid w:val="001D6B46"/>
    <w:rsid w:val="001E1754"/>
    <w:rsid w:val="001E228F"/>
    <w:rsid w:val="001E26DC"/>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0B2"/>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D5E54"/>
    <w:rsid w:val="002E13E2"/>
    <w:rsid w:val="002E1425"/>
    <w:rsid w:val="002E21FA"/>
    <w:rsid w:val="002E3B43"/>
    <w:rsid w:val="002E4527"/>
    <w:rsid w:val="002E4C5A"/>
    <w:rsid w:val="002E607A"/>
    <w:rsid w:val="002F3639"/>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597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2236"/>
    <w:rsid w:val="00387E71"/>
    <w:rsid w:val="00391A60"/>
    <w:rsid w:val="003930D8"/>
    <w:rsid w:val="003933C7"/>
    <w:rsid w:val="003935E9"/>
    <w:rsid w:val="003949FC"/>
    <w:rsid w:val="0039543C"/>
    <w:rsid w:val="003A1C11"/>
    <w:rsid w:val="003A3EFD"/>
    <w:rsid w:val="003A5A7A"/>
    <w:rsid w:val="003B0A21"/>
    <w:rsid w:val="003B11D5"/>
    <w:rsid w:val="003B2C5B"/>
    <w:rsid w:val="003B3588"/>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49E"/>
    <w:rsid w:val="0040358E"/>
    <w:rsid w:val="004039C9"/>
    <w:rsid w:val="00405595"/>
    <w:rsid w:val="00416570"/>
    <w:rsid w:val="00416DEA"/>
    <w:rsid w:val="004172A9"/>
    <w:rsid w:val="00422383"/>
    <w:rsid w:val="00422A0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5EB4"/>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36E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AD6"/>
    <w:rsid w:val="00511BEB"/>
    <w:rsid w:val="00512B70"/>
    <w:rsid w:val="00522AFE"/>
    <w:rsid w:val="00524032"/>
    <w:rsid w:val="005253A3"/>
    <w:rsid w:val="005273E3"/>
    <w:rsid w:val="00531E34"/>
    <w:rsid w:val="00533440"/>
    <w:rsid w:val="005369B3"/>
    <w:rsid w:val="00541188"/>
    <w:rsid w:val="00542854"/>
    <w:rsid w:val="0054434C"/>
    <w:rsid w:val="005451D6"/>
    <w:rsid w:val="00545CC5"/>
    <w:rsid w:val="0054608A"/>
    <w:rsid w:val="005508BD"/>
    <w:rsid w:val="00552EE1"/>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945BE"/>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2166"/>
    <w:rsid w:val="00702AD6"/>
    <w:rsid w:val="00703EC1"/>
    <w:rsid w:val="00706325"/>
    <w:rsid w:val="00710FCE"/>
    <w:rsid w:val="007134FD"/>
    <w:rsid w:val="0071437D"/>
    <w:rsid w:val="00715F9D"/>
    <w:rsid w:val="007169B1"/>
    <w:rsid w:val="0072237B"/>
    <w:rsid w:val="0072490F"/>
    <w:rsid w:val="007348A5"/>
    <w:rsid w:val="00735064"/>
    <w:rsid w:val="0073621F"/>
    <w:rsid w:val="007419C0"/>
    <w:rsid w:val="0074376A"/>
    <w:rsid w:val="0074394A"/>
    <w:rsid w:val="00747520"/>
    <w:rsid w:val="0075029F"/>
    <w:rsid w:val="0075196D"/>
    <w:rsid w:val="00754BD0"/>
    <w:rsid w:val="0075523A"/>
    <w:rsid w:val="00756E65"/>
    <w:rsid w:val="00761EE8"/>
    <w:rsid w:val="00761F7A"/>
    <w:rsid w:val="0076243A"/>
    <w:rsid w:val="00774371"/>
    <w:rsid w:val="007778BD"/>
    <w:rsid w:val="00783C22"/>
    <w:rsid w:val="00786032"/>
    <w:rsid w:val="007861CC"/>
    <w:rsid w:val="00786DA0"/>
    <w:rsid w:val="00792897"/>
    <w:rsid w:val="00792AB2"/>
    <w:rsid w:val="00794A56"/>
    <w:rsid w:val="007962CA"/>
    <w:rsid w:val="007A335A"/>
    <w:rsid w:val="007A4AF3"/>
    <w:rsid w:val="007A4D9B"/>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D763C"/>
    <w:rsid w:val="007E1A95"/>
    <w:rsid w:val="007E2023"/>
    <w:rsid w:val="007E2BA6"/>
    <w:rsid w:val="007E348E"/>
    <w:rsid w:val="007E44C1"/>
    <w:rsid w:val="007E531F"/>
    <w:rsid w:val="007F1B8C"/>
    <w:rsid w:val="007F5493"/>
    <w:rsid w:val="007F652C"/>
    <w:rsid w:val="007F6B29"/>
    <w:rsid w:val="008056EF"/>
    <w:rsid w:val="00805ED5"/>
    <w:rsid w:val="00810058"/>
    <w:rsid w:val="00810749"/>
    <w:rsid w:val="00811144"/>
    <w:rsid w:val="00811B0C"/>
    <w:rsid w:val="00811F9E"/>
    <w:rsid w:val="008129CA"/>
    <w:rsid w:val="00815757"/>
    <w:rsid w:val="00816558"/>
    <w:rsid w:val="008171C1"/>
    <w:rsid w:val="00820DB3"/>
    <w:rsid w:val="00824022"/>
    <w:rsid w:val="00827BCA"/>
    <w:rsid w:val="00830F5B"/>
    <w:rsid w:val="00833785"/>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86D93"/>
    <w:rsid w:val="00894B21"/>
    <w:rsid w:val="00895CB6"/>
    <w:rsid w:val="00897F25"/>
    <w:rsid w:val="008A1FE0"/>
    <w:rsid w:val="008A2078"/>
    <w:rsid w:val="008A3063"/>
    <w:rsid w:val="008A35EB"/>
    <w:rsid w:val="008A6811"/>
    <w:rsid w:val="008A7289"/>
    <w:rsid w:val="008A7AE7"/>
    <w:rsid w:val="008B0723"/>
    <w:rsid w:val="008B07EB"/>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23904"/>
    <w:rsid w:val="00930003"/>
    <w:rsid w:val="00931DDB"/>
    <w:rsid w:val="0093480F"/>
    <w:rsid w:val="00934DF7"/>
    <w:rsid w:val="009459A9"/>
    <w:rsid w:val="00946240"/>
    <w:rsid w:val="00953C63"/>
    <w:rsid w:val="00954BBC"/>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62CA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5498"/>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2C7F"/>
    <w:rsid w:val="00C059A7"/>
    <w:rsid w:val="00C117A9"/>
    <w:rsid w:val="00C12FEB"/>
    <w:rsid w:val="00C13240"/>
    <w:rsid w:val="00C1399B"/>
    <w:rsid w:val="00C16D2E"/>
    <w:rsid w:val="00C20F47"/>
    <w:rsid w:val="00C21651"/>
    <w:rsid w:val="00C26089"/>
    <w:rsid w:val="00C26201"/>
    <w:rsid w:val="00C26251"/>
    <w:rsid w:val="00C308BC"/>
    <w:rsid w:val="00C35507"/>
    <w:rsid w:val="00C35CE4"/>
    <w:rsid w:val="00C36613"/>
    <w:rsid w:val="00C36B91"/>
    <w:rsid w:val="00C3757E"/>
    <w:rsid w:val="00C40E87"/>
    <w:rsid w:val="00C43851"/>
    <w:rsid w:val="00C448E1"/>
    <w:rsid w:val="00C55844"/>
    <w:rsid w:val="00C56F40"/>
    <w:rsid w:val="00C573F9"/>
    <w:rsid w:val="00C61082"/>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1325"/>
    <w:rsid w:val="00CC5AD3"/>
    <w:rsid w:val="00CC69DA"/>
    <w:rsid w:val="00CD3036"/>
    <w:rsid w:val="00CD409A"/>
    <w:rsid w:val="00CD4FC3"/>
    <w:rsid w:val="00CD51DC"/>
    <w:rsid w:val="00CD6843"/>
    <w:rsid w:val="00CE438E"/>
    <w:rsid w:val="00CE522D"/>
    <w:rsid w:val="00CE57F1"/>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3AD"/>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509A5"/>
    <w:rsid w:val="00E53D89"/>
    <w:rsid w:val="00E54E5E"/>
    <w:rsid w:val="00E65115"/>
    <w:rsid w:val="00E654B4"/>
    <w:rsid w:val="00E66BEF"/>
    <w:rsid w:val="00E71E2E"/>
    <w:rsid w:val="00E725A1"/>
    <w:rsid w:val="00E73AE4"/>
    <w:rsid w:val="00E778FD"/>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6FBC"/>
    <w:rsid w:val="00F37C07"/>
    <w:rsid w:val="00F50C36"/>
    <w:rsid w:val="00F54836"/>
    <w:rsid w:val="00F57001"/>
    <w:rsid w:val="00F571E8"/>
    <w:rsid w:val="00F578E8"/>
    <w:rsid w:val="00F57900"/>
    <w:rsid w:val="00F60E7B"/>
    <w:rsid w:val="00F60EC7"/>
    <w:rsid w:val="00F63FF8"/>
    <w:rsid w:val="00F678A0"/>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E7FD8"/>
    <w:rsid w:val="00FF01D6"/>
    <w:rsid w:val="00FF3636"/>
    <w:rsid w:val="00FF639A"/>
    <w:rsid w:val="00FF6EC1"/>
    <w:rsid w:val="097E11FF"/>
    <w:rsid w:val="391E5FA3"/>
    <w:rsid w:val="41787651"/>
    <w:rsid w:val="489D136C"/>
    <w:rsid w:val="499F13E5"/>
    <w:rsid w:val="57ED244C"/>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uiPriority w:val="0"/>
    <w:rPr>
      <w:color w:val="0000FF"/>
      <w:u w:val="single"/>
    </w:rPr>
  </w:style>
  <w:style w:type="character" w:customStyle="1" w:styleId="18">
    <w:name w:val="页脚 字符"/>
    <w:link w:val="8"/>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 w:type="character" w:customStyle="1" w:styleId="37">
    <w:name w:val="a-text-italic"/>
    <w:basedOn w:val="13"/>
    <w:qFormat/>
    <w:uiPriority w:val="0"/>
  </w:style>
  <w:style w:type="character" w:customStyle="1" w:styleId="38">
    <w:name w:val="a-text-bold"/>
    <w:basedOn w:val="13"/>
    <w:qFormat/>
    <w:uiPriority w:val="0"/>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paragraph" w:customStyle="1" w:styleId="40">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tif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250</Words>
  <Characters>1425</Characters>
  <Lines>11</Lines>
  <Paragraphs>3</Paragraphs>
  <TotalTime>38</TotalTime>
  <ScaleCrop>false</ScaleCrop>
  <LinksUpToDate>false</LinksUpToDate>
  <CharactersWithSpaces>1672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2023-12-19T06:33:00Z</dcterms:created>
  <dc:creator>Image</dc:creator>
  <cp:lastModifiedBy>堀  达</cp:lastModifiedBy>
  <cp:lastPrinted>2005-06-10T06:33:00Z</cp:lastPrinted>
  <dcterms:modified xsi:type="dcterms:W3CDTF">2023-12-26T08:00:18Z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3EA7157C82E44CF4800C081DE1C8E67A_13</vt:lpwstr>
  </property>
</Properties>
</file>