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45AD4D03" w:rsidR="00137C6A" w:rsidRPr="00502B21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E9DC4D4" w:rsidR="00137C6A" w:rsidRPr="00502B21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502B2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502B2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02B2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502B2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02B2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502B2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02B2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24D74D27" w:rsidR="00137C6A" w:rsidRPr="00502B21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2B78E75" w:rsidR="00137C6A" w:rsidRPr="00502B21" w:rsidRDefault="00502B21">
      <w:pPr>
        <w:rPr>
          <w:b/>
          <w:color w:val="000000"/>
          <w:szCs w:val="21"/>
        </w:rPr>
      </w:pPr>
      <w:r w:rsidRPr="00502B21">
        <w:rPr>
          <w:noProof/>
        </w:rPr>
        <w:drawing>
          <wp:anchor distT="0" distB="0" distL="114300" distR="114300" simplePos="0" relativeHeight="251712512" behindDoc="0" locked="0" layoutInCell="1" allowOverlap="1" wp14:anchorId="587866F5" wp14:editId="7703A304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1701165" cy="2200275"/>
            <wp:effectExtent l="0" t="0" r="0" b="9525"/>
            <wp:wrapSquare wrapText="bothSides"/>
            <wp:docPr id="6" name="图片 6" descr="Accelerating Decarbonization in the United States: Technology, Policy, and Societal 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elerating Decarbonization in the United States: Technology, Policy, and Societal Dimens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F3B84" w14:textId="3962ABCD" w:rsidR="00934F72" w:rsidRPr="00502B21" w:rsidRDefault="00FF1579" w:rsidP="00E30213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中文书名：</w:t>
      </w:r>
      <w:r w:rsidR="007E5BCC" w:rsidRPr="00502B21">
        <w:rPr>
          <w:b/>
          <w:color w:val="000000"/>
          <w:szCs w:val="21"/>
        </w:rPr>
        <w:t>《</w:t>
      </w:r>
      <w:r w:rsidR="00502B21" w:rsidRPr="00502B21">
        <w:rPr>
          <w:b/>
          <w:color w:val="000000"/>
          <w:szCs w:val="21"/>
        </w:rPr>
        <w:t>加速美国的脱碳进程：技术、政策和社会维度</w:t>
      </w:r>
      <w:r w:rsidR="007E5BCC" w:rsidRPr="00502B21">
        <w:rPr>
          <w:b/>
          <w:color w:val="000000"/>
          <w:szCs w:val="21"/>
        </w:rPr>
        <w:t>》</w:t>
      </w:r>
    </w:p>
    <w:p w14:paraId="7C49F3A3" w14:textId="70B576A4" w:rsidR="00137C6A" w:rsidRPr="00502B21" w:rsidRDefault="00FF1579" w:rsidP="007700AC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英文书名：</w:t>
      </w:r>
      <w:r w:rsidR="007700AC" w:rsidRPr="00502B21">
        <w:rPr>
          <w:b/>
          <w:color w:val="000000"/>
          <w:szCs w:val="21"/>
        </w:rPr>
        <w:t>ACCELERATING DECARBONIZATION IN THE UNITED STATES: Technology, Policy, and Societal Dimensions</w:t>
      </w:r>
    </w:p>
    <w:p w14:paraId="3C14B3D1" w14:textId="59CB28BD" w:rsidR="00137C6A" w:rsidRPr="00502B21" w:rsidRDefault="00FF1579" w:rsidP="00D130CB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作</w:t>
      </w:r>
      <w:r w:rsidRPr="00502B21">
        <w:rPr>
          <w:b/>
          <w:color w:val="000000"/>
          <w:szCs w:val="21"/>
        </w:rPr>
        <w:t xml:space="preserve">    </w:t>
      </w:r>
      <w:r w:rsidRPr="00502B21">
        <w:rPr>
          <w:b/>
          <w:color w:val="000000"/>
          <w:szCs w:val="21"/>
        </w:rPr>
        <w:t>者：</w:t>
      </w:r>
      <w:r w:rsidR="00D813B4" w:rsidRPr="00502B21">
        <w:rPr>
          <w:b/>
          <w:color w:val="000000"/>
          <w:szCs w:val="21"/>
        </w:rPr>
        <w:t>National Academies of Sciences Engineering, and Medicine</w:t>
      </w:r>
    </w:p>
    <w:p w14:paraId="01433FA8" w14:textId="728BAC00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出</w:t>
      </w:r>
      <w:r w:rsidRPr="00502B21">
        <w:rPr>
          <w:b/>
          <w:color w:val="000000"/>
          <w:szCs w:val="21"/>
        </w:rPr>
        <w:t xml:space="preserve"> </w:t>
      </w:r>
      <w:r w:rsidRPr="00502B21">
        <w:rPr>
          <w:b/>
          <w:color w:val="000000"/>
          <w:szCs w:val="21"/>
        </w:rPr>
        <w:t>版</w:t>
      </w:r>
      <w:r w:rsidRPr="00502B21">
        <w:rPr>
          <w:b/>
          <w:color w:val="000000"/>
          <w:szCs w:val="21"/>
        </w:rPr>
        <w:t xml:space="preserve"> </w:t>
      </w:r>
      <w:r w:rsidRPr="00502B21">
        <w:rPr>
          <w:b/>
          <w:color w:val="000000"/>
          <w:szCs w:val="21"/>
        </w:rPr>
        <w:t>社：</w:t>
      </w:r>
      <w:r w:rsidR="0091728C" w:rsidRPr="00502B21">
        <w:rPr>
          <w:b/>
          <w:color w:val="000000"/>
          <w:szCs w:val="21"/>
        </w:rPr>
        <w:t>National Academies Press</w:t>
      </w:r>
    </w:p>
    <w:p w14:paraId="0BEDC4A2" w14:textId="68246BDE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代理公司：</w:t>
      </w:r>
      <w:r w:rsidR="00BE1235" w:rsidRPr="00502B21">
        <w:rPr>
          <w:b/>
          <w:bCs/>
          <w:color w:val="000000"/>
          <w:szCs w:val="21"/>
        </w:rPr>
        <w:t>ANA/Jessica</w:t>
      </w:r>
    </w:p>
    <w:p w14:paraId="3B9D41F6" w14:textId="38C2D0D0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页</w:t>
      </w:r>
      <w:r w:rsidRPr="00502B21">
        <w:rPr>
          <w:b/>
          <w:color w:val="000000"/>
          <w:szCs w:val="21"/>
        </w:rPr>
        <w:t xml:space="preserve">    </w:t>
      </w:r>
      <w:r w:rsidRPr="00502B21">
        <w:rPr>
          <w:b/>
          <w:color w:val="000000"/>
          <w:szCs w:val="21"/>
        </w:rPr>
        <w:t>数：</w:t>
      </w:r>
      <w:r w:rsidR="00502B21" w:rsidRPr="00502B21">
        <w:rPr>
          <w:b/>
          <w:color w:val="000000"/>
          <w:szCs w:val="21"/>
        </w:rPr>
        <w:t>600</w:t>
      </w:r>
      <w:r w:rsidRPr="00502B21">
        <w:rPr>
          <w:b/>
          <w:color w:val="000000"/>
          <w:szCs w:val="21"/>
        </w:rPr>
        <w:t>页</w:t>
      </w:r>
    </w:p>
    <w:p w14:paraId="1AF847CF" w14:textId="4A46AF97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出版时间：</w:t>
      </w:r>
      <w:r w:rsidR="00F951F0" w:rsidRPr="00502B21">
        <w:rPr>
          <w:b/>
          <w:color w:val="000000"/>
          <w:szCs w:val="21"/>
        </w:rPr>
        <w:t>20</w:t>
      </w:r>
      <w:r w:rsidR="00673089" w:rsidRPr="00502B21">
        <w:rPr>
          <w:b/>
          <w:color w:val="000000"/>
          <w:szCs w:val="21"/>
        </w:rPr>
        <w:t>2</w:t>
      </w:r>
      <w:r w:rsidR="00D813B4" w:rsidRPr="00502B21">
        <w:rPr>
          <w:b/>
          <w:color w:val="000000"/>
          <w:szCs w:val="21"/>
        </w:rPr>
        <w:t>4</w:t>
      </w:r>
      <w:r w:rsidR="00F951F0" w:rsidRPr="00502B21">
        <w:rPr>
          <w:b/>
          <w:color w:val="000000"/>
          <w:szCs w:val="21"/>
        </w:rPr>
        <w:t>年</w:t>
      </w:r>
      <w:r w:rsidR="00502B21" w:rsidRPr="00502B21">
        <w:rPr>
          <w:b/>
          <w:color w:val="000000"/>
          <w:szCs w:val="21"/>
        </w:rPr>
        <w:t>3</w:t>
      </w:r>
      <w:r w:rsidR="00F951F0" w:rsidRPr="00502B21">
        <w:rPr>
          <w:b/>
          <w:color w:val="000000"/>
          <w:szCs w:val="21"/>
        </w:rPr>
        <w:t>月</w:t>
      </w:r>
    </w:p>
    <w:p w14:paraId="41E78C4B" w14:textId="16070E85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代理地区：中国大陆、台湾</w:t>
      </w:r>
    </w:p>
    <w:p w14:paraId="6AFDE6A5" w14:textId="7DA0C73D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审读资料：电子稿</w:t>
      </w:r>
    </w:p>
    <w:p w14:paraId="29863A22" w14:textId="31B7C6B2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类</w:t>
      </w:r>
      <w:r w:rsidRPr="00502B21">
        <w:rPr>
          <w:b/>
          <w:color w:val="000000"/>
          <w:szCs w:val="21"/>
        </w:rPr>
        <w:t xml:space="preserve">    </w:t>
      </w:r>
      <w:r w:rsidRPr="00502B21">
        <w:rPr>
          <w:b/>
          <w:color w:val="000000"/>
          <w:szCs w:val="21"/>
        </w:rPr>
        <w:t>型：</w:t>
      </w:r>
      <w:r w:rsidR="00502B21" w:rsidRPr="00502B21">
        <w:rPr>
          <w:b/>
          <w:color w:val="000000"/>
          <w:szCs w:val="21"/>
        </w:rPr>
        <w:t>环保</w:t>
      </w:r>
    </w:p>
    <w:p w14:paraId="1D70FD4D" w14:textId="6D365B17" w:rsidR="00137C6A" w:rsidRPr="00502B21" w:rsidRDefault="00137C6A">
      <w:pPr>
        <w:rPr>
          <w:b/>
          <w:bCs/>
          <w:color w:val="FF0000"/>
          <w:szCs w:val="21"/>
        </w:rPr>
      </w:pPr>
    </w:p>
    <w:p w14:paraId="12B22960" w14:textId="075F05FB" w:rsidR="00137C6A" w:rsidRPr="00502B21" w:rsidRDefault="00137C6A">
      <w:pPr>
        <w:rPr>
          <w:b/>
          <w:bCs/>
          <w:color w:val="000000"/>
          <w:szCs w:val="21"/>
        </w:rPr>
      </w:pPr>
    </w:p>
    <w:p w14:paraId="57E9F668" w14:textId="4BBEC484" w:rsidR="00137C6A" w:rsidRPr="00502B21" w:rsidRDefault="00FF1579">
      <w:pPr>
        <w:rPr>
          <w:color w:val="000000"/>
          <w:szCs w:val="21"/>
        </w:rPr>
      </w:pPr>
      <w:r w:rsidRPr="00502B21">
        <w:rPr>
          <w:b/>
          <w:bCs/>
          <w:color w:val="000000"/>
          <w:szCs w:val="21"/>
        </w:rPr>
        <w:t>内容简介：</w:t>
      </w:r>
    </w:p>
    <w:p w14:paraId="692E73AE" w14:textId="66F06FFA" w:rsidR="00AD5069" w:rsidRPr="00502B21" w:rsidRDefault="00AD5069" w:rsidP="00AD5069">
      <w:pPr>
        <w:rPr>
          <w:bCs/>
          <w:color w:val="000000"/>
          <w:szCs w:val="21"/>
        </w:rPr>
      </w:pPr>
    </w:p>
    <w:p w14:paraId="5EED9942" w14:textId="7048D702" w:rsidR="001A7840" w:rsidRPr="00502B21" w:rsidRDefault="001A7840" w:rsidP="00BC6F91">
      <w:pPr>
        <w:ind w:firstLineChars="200" w:firstLine="420"/>
      </w:pPr>
      <w:r w:rsidRPr="00502B21">
        <w:t>美国设定了一个中期排放目标，即到</w:t>
      </w:r>
      <w:r w:rsidRPr="00502B21">
        <w:t>2030</w:t>
      </w:r>
      <w:r w:rsidRPr="00502B21">
        <w:t>年将排放量比</w:t>
      </w:r>
      <w:r w:rsidRPr="00502B21">
        <w:t>2005</w:t>
      </w:r>
      <w:r w:rsidRPr="00502B21">
        <w:t>年的水平低</w:t>
      </w:r>
      <w:r w:rsidRPr="00502B21">
        <w:t>50-52%</w:t>
      </w:r>
      <w:r w:rsidRPr="00502B21">
        <w:t>，以实现净零排放目标。建模分析表明，联邦政策可以为</w:t>
      </w:r>
      <w:r w:rsidRPr="00502B21">
        <w:t>2030</w:t>
      </w:r>
      <w:r w:rsidRPr="00502B21">
        <w:t>年</w:t>
      </w:r>
      <w:r>
        <w:rPr>
          <w:rFonts w:hint="eastAsia"/>
        </w:rPr>
        <w:t>的</w:t>
      </w:r>
      <w:r w:rsidRPr="00502B21">
        <w:t>目标提供</w:t>
      </w:r>
      <w:r w:rsidRPr="00502B21">
        <w:t>70-80%</w:t>
      </w:r>
      <w:r w:rsidRPr="00502B21">
        <w:t>的减排量。美国正在尝试其历史上第一次</w:t>
      </w:r>
      <w:r>
        <w:rPr>
          <w:rFonts w:hint="eastAsia"/>
        </w:rPr>
        <w:t>合理</w:t>
      </w:r>
      <w:r w:rsidRPr="00502B21">
        <w:t>、公</w:t>
      </w:r>
      <w:r>
        <w:rPr>
          <w:rFonts w:hint="eastAsia"/>
        </w:rPr>
        <w:t>平</w:t>
      </w:r>
      <w:r w:rsidRPr="00502B21">
        <w:t>和公正的技术转型。如果成功，转型将影响美国经济的几乎每个部分，并为该国留下一个负担得起且可获得的能源系统，该系统产生零净温室气体排放，并提供重要的共同利益，例如减少导致疾病和死亡的环境空气污染物的排放</w:t>
      </w:r>
      <w:r w:rsidR="002A3916">
        <w:rPr>
          <w:rFonts w:hint="eastAsia"/>
        </w:rPr>
        <w:t>；</w:t>
      </w:r>
      <w:r w:rsidRPr="00502B21">
        <w:t>振兴能源、建筑和工业部门</w:t>
      </w:r>
      <w:r w:rsidR="002A3916">
        <w:rPr>
          <w:rFonts w:hint="eastAsia"/>
        </w:rPr>
        <w:t>；</w:t>
      </w:r>
      <w:r w:rsidRPr="00502B21">
        <w:t>提高对环境和社会压力的抵御能力</w:t>
      </w:r>
      <w:r w:rsidR="002A3916">
        <w:rPr>
          <w:rFonts w:hint="eastAsia"/>
        </w:rPr>
        <w:t>；</w:t>
      </w:r>
      <w:r w:rsidRPr="00502B21">
        <w:t>产生就业净增长</w:t>
      </w:r>
      <w:r w:rsidR="002A3916">
        <w:rPr>
          <w:rFonts w:hint="eastAsia"/>
        </w:rPr>
        <w:t>；</w:t>
      </w:r>
      <w:r w:rsidR="002A3916" w:rsidRPr="002A3916">
        <w:rPr>
          <w:rFonts w:hint="eastAsia"/>
        </w:rPr>
        <w:t>从而</w:t>
      </w:r>
      <w:r w:rsidR="002A3916">
        <w:rPr>
          <w:rFonts w:hint="eastAsia"/>
        </w:rPr>
        <w:t>合理</w:t>
      </w:r>
      <w:r w:rsidR="002A3916" w:rsidRPr="002A3916">
        <w:rPr>
          <w:rFonts w:hint="eastAsia"/>
        </w:rPr>
        <w:t>、公平、公正地对待失业的化石燃料工人、低收入和历史上被边缘化的人群</w:t>
      </w:r>
      <w:r w:rsidRPr="00502B21">
        <w:t>。</w:t>
      </w:r>
      <w:r w:rsidRPr="00502B21">
        <w:t xml:space="preserve"> </w:t>
      </w:r>
    </w:p>
    <w:p w14:paraId="5C1D500B" w14:textId="77777777" w:rsidR="001A7840" w:rsidRPr="00502B21" w:rsidRDefault="001A7840" w:rsidP="00BC6F91">
      <w:pPr>
        <w:ind w:firstLineChars="200" w:firstLine="420"/>
      </w:pPr>
    </w:p>
    <w:p w14:paraId="6B949261" w14:textId="63BDFDF5" w:rsidR="001A7840" w:rsidRPr="00502B21" w:rsidRDefault="001A7840" w:rsidP="00BC6F91">
      <w:pPr>
        <w:ind w:firstLineChars="200" w:firstLine="420"/>
      </w:pPr>
      <w:r w:rsidRPr="00502B21">
        <w:t>通过对当前联邦、州和地方气候和能源政策的评估</w:t>
      </w:r>
      <w:r w:rsidR="00F61592">
        <w:rPr>
          <w:rFonts w:hint="eastAsia"/>
        </w:rPr>
        <w:t>，</w:t>
      </w:r>
      <w:r w:rsidR="00F61592" w:rsidRPr="00F61592">
        <w:rPr>
          <w:bCs/>
          <w:color w:val="000000"/>
          <w:szCs w:val="21"/>
        </w:rPr>
        <w:t>《加速美国的脱碳进程：技术、政策和社会维度》</w:t>
      </w:r>
      <w:r w:rsidRPr="00502B21">
        <w:t>确定了阻碍美国实现其气候、经济和社会目标的差距和实施障碍。这是继</w:t>
      </w:r>
      <w:r w:rsidRPr="00502B21">
        <w:t>2021</w:t>
      </w:r>
      <w:r w:rsidRPr="00502B21">
        <w:t>年研究《加速美国能源系统脱碳》</w:t>
      </w:r>
      <w:r w:rsidR="00F61592">
        <w:rPr>
          <w:rFonts w:hint="eastAsia"/>
        </w:rPr>
        <w:t>（</w:t>
      </w:r>
      <w:r w:rsidR="00F61592" w:rsidRPr="00F61592">
        <w:rPr>
          <w:i/>
          <w:iCs/>
        </w:rPr>
        <w:t>Accelerating Decarbonization of the U.S. Energy System</w:t>
      </w:r>
      <w:r w:rsidR="00F61592">
        <w:rPr>
          <w:rFonts w:hint="eastAsia"/>
        </w:rPr>
        <w:t>）</w:t>
      </w:r>
      <w:r w:rsidRPr="00502B21">
        <w:t>之后的又一研究，该研究列出了</w:t>
      </w:r>
      <w:r w:rsidRPr="00502B21">
        <w:t>2</w:t>
      </w:r>
      <w:r w:rsidR="00F61592">
        <w:t>1</w:t>
      </w:r>
      <w:r w:rsidR="00F61592">
        <w:rPr>
          <w:rFonts w:hint="eastAsia"/>
        </w:rPr>
        <w:t>世纪</w:t>
      </w:r>
      <w:r w:rsidRPr="00502B21">
        <w:t>20</w:t>
      </w:r>
      <w:r w:rsidRPr="00502B21">
        <w:t>年代所需的联邦行动，以使国家在本世纪中叶走上公平公正的脱碳之路。</w:t>
      </w:r>
      <w:r w:rsidRPr="00502B21">
        <w:t xml:space="preserve"> </w:t>
      </w:r>
    </w:p>
    <w:p w14:paraId="3DC09204" w14:textId="77777777" w:rsidR="001A7840" w:rsidRPr="00502B21" w:rsidRDefault="001A7840" w:rsidP="00BC6F91">
      <w:pPr>
        <w:ind w:firstLineChars="200" w:firstLine="420"/>
      </w:pPr>
    </w:p>
    <w:p w14:paraId="1FAE8A2F" w14:textId="225190BD" w:rsidR="001A7840" w:rsidRPr="00502B21" w:rsidRDefault="00F61592" w:rsidP="00BC6F91">
      <w:pPr>
        <w:ind w:firstLineChars="200" w:firstLine="420"/>
      </w:pPr>
      <w:r w:rsidRPr="00F61592">
        <w:rPr>
          <w:bCs/>
          <w:color w:val="000000"/>
          <w:szCs w:val="21"/>
        </w:rPr>
        <w:t>《加速美国的脱碳进程：技术、政策和社会维度》</w:t>
      </w:r>
      <w:r w:rsidR="001A7840" w:rsidRPr="00502B21">
        <w:t>重点关注脱碳政策的五个主要目标</w:t>
      </w:r>
      <w:r>
        <w:rPr>
          <w:rFonts w:hint="eastAsia"/>
        </w:rPr>
        <w:t>——</w:t>
      </w:r>
      <w:r w:rsidR="001A7840" w:rsidRPr="00502B21">
        <w:t>温室气体减排、公平和公正、健康、就业和公众参与</w:t>
      </w:r>
      <w:r>
        <w:rPr>
          <w:rFonts w:hint="eastAsia"/>
        </w:rPr>
        <w:t>——</w:t>
      </w:r>
      <w:r w:rsidR="001A7840" w:rsidRPr="00502B21">
        <w:t>涉及八个不同领域：电力、建筑、土地使用、交通、工业、金融、化石燃料和非联邦行为者。本书提供了长期的、全社会的建议，以实施、调整和扩展现有的地方、州和联邦气候和能源政策，以实现清洁、负担得起和公平的能源服务，减少气候变化的影响，改善健康和就业机会，清洁空气。</w:t>
      </w:r>
      <w:r w:rsidRPr="00F61592">
        <w:rPr>
          <w:bCs/>
          <w:color w:val="000000"/>
          <w:szCs w:val="21"/>
        </w:rPr>
        <w:t>《加速美国的脱碳进程：技术、政策和社会维度》</w:t>
      </w:r>
      <w:r w:rsidR="001A7840" w:rsidRPr="00502B21">
        <w:t>的建议将就填补政策空白、克服实施障碍和制定适应性管理战略提供建议，以便美国能够实现其净零排放目标，所有美国人都能从公平的能源体系中受益。</w:t>
      </w:r>
    </w:p>
    <w:p w14:paraId="611B560E" w14:textId="68183F52" w:rsidR="00D575BF" w:rsidRPr="00502B21" w:rsidRDefault="00D575BF" w:rsidP="00D575BF"/>
    <w:p w14:paraId="14D28769" w14:textId="20A3A7A4" w:rsidR="00E76F8E" w:rsidRPr="00502B21" w:rsidRDefault="00E76F8E">
      <w:pPr>
        <w:rPr>
          <w:color w:val="000000"/>
          <w:szCs w:val="21"/>
        </w:rPr>
      </w:pPr>
    </w:p>
    <w:p w14:paraId="5D4432F8" w14:textId="797716D5" w:rsidR="00137C6A" w:rsidRPr="00502B21" w:rsidRDefault="00FF1579">
      <w:pPr>
        <w:rPr>
          <w:b/>
          <w:bCs/>
          <w:color w:val="000000"/>
          <w:szCs w:val="21"/>
        </w:rPr>
      </w:pPr>
      <w:r w:rsidRPr="00502B21">
        <w:rPr>
          <w:b/>
          <w:bCs/>
          <w:color w:val="000000"/>
          <w:szCs w:val="21"/>
        </w:rPr>
        <w:t>作者简介：</w:t>
      </w:r>
    </w:p>
    <w:p w14:paraId="0F403ACB" w14:textId="103317EB" w:rsidR="00C0214E" w:rsidRPr="00502B21" w:rsidRDefault="001A7840">
      <w:pPr>
        <w:rPr>
          <w:b/>
          <w:bCs/>
          <w:color w:val="000000"/>
          <w:szCs w:val="21"/>
        </w:rPr>
      </w:pPr>
      <w:r w:rsidRPr="00502B21">
        <w:rPr>
          <w:b/>
          <w:noProof/>
        </w:rPr>
        <w:drawing>
          <wp:anchor distT="0" distB="0" distL="114300" distR="114300" simplePos="0" relativeHeight="251711488" behindDoc="1" locked="0" layoutInCell="1" allowOverlap="1" wp14:anchorId="798B6016" wp14:editId="63376895">
            <wp:simplePos x="0" y="0"/>
            <wp:positionH relativeFrom="margin">
              <wp:posOffset>-6350</wp:posOffset>
            </wp:positionH>
            <wp:positionV relativeFrom="paragraph">
              <wp:posOffset>31115</wp:posOffset>
            </wp:positionV>
            <wp:extent cx="1552575" cy="942975"/>
            <wp:effectExtent l="0" t="0" r="9525" b="0"/>
            <wp:wrapTight wrapText="bothSides">
              <wp:wrapPolygon edited="0">
                <wp:start x="0" y="0"/>
                <wp:lineTo x="0" y="20945"/>
                <wp:lineTo x="21467" y="20945"/>
                <wp:lineTo x="2146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F9291" w14:textId="1631101A" w:rsidR="001A7840" w:rsidRPr="00502B21" w:rsidRDefault="001A7840" w:rsidP="00B0372A">
      <w:pPr>
        <w:ind w:firstLineChars="200" w:firstLine="422"/>
        <w:rPr>
          <w:noProof/>
        </w:rPr>
      </w:pPr>
      <w:r w:rsidRPr="00502B21">
        <w:rPr>
          <w:b/>
        </w:rPr>
        <w:t>美国国家科学院、工程院和医学院</w:t>
      </w:r>
      <w:r w:rsidRPr="00502B21">
        <w:rPr>
          <w:noProof/>
        </w:rPr>
        <w:t>是</w:t>
      </w:r>
      <w:r w:rsidRPr="00502B21">
        <w:rPr>
          <w:noProof/>
        </w:rPr>
        <w:t>1863</w:t>
      </w:r>
      <w:r w:rsidRPr="00502B21">
        <w:rPr>
          <w:noProof/>
        </w:rPr>
        <w:t>年应林肯总统的要求由美国国会特许成立的非政府、非营利组织。它</w:t>
      </w:r>
      <w:r w:rsidRPr="00502B21">
        <w:t>提供独立</w:t>
      </w:r>
      <w:r w:rsidR="00F61592">
        <w:rPr>
          <w:rFonts w:hint="eastAsia"/>
        </w:rPr>
        <w:t>的</w:t>
      </w:r>
      <w:r w:rsidRPr="00502B21">
        <w:t>、客观的建议，以激发进步并推动科学、工程和医学的发展，造福社会。科学院的工作以我们三个学院</w:t>
      </w:r>
      <w:r w:rsidR="00F61592">
        <w:rPr>
          <w:rFonts w:hint="eastAsia"/>
        </w:rPr>
        <w:t>——</w:t>
      </w:r>
      <w:r w:rsidRPr="00502B21">
        <w:t>美国国家科学院、美国国家工程院和美国国家医学院</w:t>
      </w:r>
      <w:r w:rsidR="00F61592">
        <w:rPr>
          <w:rFonts w:hint="eastAsia"/>
        </w:rPr>
        <w:t>——</w:t>
      </w:r>
      <w:r w:rsidRPr="00502B21">
        <w:t>的专业知识为基础。</w:t>
      </w:r>
      <w:r w:rsidRPr="00502B21">
        <w:rPr>
          <w:noProof/>
        </w:rPr>
        <w:t xml:space="preserve"> </w:t>
      </w:r>
      <w:r w:rsidRPr="00502B21">
        <w:rPr>
          <w:noProof/>
        </w:rPr>
        <w:t>该学院有两个使命：向拥有会员资格的国家顶尖科学家、工程师和卫生专业人员致敬，并以独立的专家建议为国家服务。</w:t>
      </w:r>
    </w:p>
    <w:p w14:paraId="4866AAD4" w14:textId="0B9F5CB0" w:rsidR="00474E9B" w:rsidRPr="00502B21" w:rsidRDefault="00474E9B" w:rsidP="00474E9B">
      <w:pPr>
        <w:rPr>
          <w:noProof/>
        </w:rPr>
      </w:pPr>
    </w:p>
    <w:p w14:paraId="5C5A7FB2" w14:textId="7ED59182" w:rsidR="0050690C" w:rsidRPr="00502B21" w:rsidRDefault="0050690C" w:rsidP="00474E9B">
      <w:pPr>
        <w:rPr>
          <w:noProof/>
        </w:rPr>
      </w:pPr>
    </w:p>
    <w:p w14:paraId="096ECB2F" w14:textId="77777777" w:rsidR="001A7840" w:rsidRPr="00502B21" w:rsidRDefault="001A7840" w:rsidP="00AC27CE">
      <w:pPr>
        <w:spacing w:line="500" w:lineRule="exact"/>
        <w:jc w:val="center"/>
        <w:rPr>
          <w:b/>
          <w:color w:val="000000"/>
          <w:sz w:val="30"/>
          <w:szCs w:val="30"/>
        </w:rPr>
      </w:pPr>
      <w:r w:rsidRPr="00502B21">
        <w:rPr>
          <w:b/>
          <w:color w:val="000000"/>
          <w:sz w:val="30"/>
          <w:szCs w:val="30"/>
        </w:rPr>
        <w:t>加速美国的脱碳：技术、政策和社会层面</w:t>
      </w:r>
    </w:p>
    <w:p w14:paraId="3282E036" w14:textId="77777777" w:rsidR="0050690C" w:rsidRPr="00502B21" w:rsidRDefault="0050690C" w:rsidP="007364E2">
      <w:pPr>
        <w:jc w:val="center"/>
        <w:rPr>
          <w:b/>
          <w:color w:val="000000"/>
          <w:szCs w:val="21"/>
        </w:rPr>
      </w:pPr>
    </w:p>
    <w:p w14:paraId="26D77822" w14:textId="08517FEC" w:rsidR="001A7840" w:rsidRPr="00502B21" w:rsidRDefault="001A7840" w:rsidP="000E7EE1">
      <w:pPr>
        <w:jc w:val="center"/>
        <w:rPr>
          <w:rFonts w:hint="eastAsia"/>
          <w:noProof/>
        </w:rPr>
      </w:pPr>
      <w:r w:rsidRPr="00502B21">
        <w:rPr>
          <w:noProof/>
        </w:rPr>
        <w:t>前</w:t>
      </w:r>
      <w:r>
        <w:rPr>
          <w:rFonts w:hint="eastAsia"/>
          <w:noProof/>
        </w:rPr>
        <w:t>言</w:t>
      </w:r>
    </w:p>
    <w:p w14:paraId="3328889E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摘要</w:t>
      </w:r>
    </w:p>
    <w:p w14:paraId="350DEE31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总结</w:t>
      </w:r>
    </w:p>
    <w:p w14:paraId="72778AA4" w14:textId="77777777" w:rsidR="001A7840" w:rsidRPr="00502B21" w:rsidRDefault="001A7840" w:rsidP="000E7EE1">
      <w:pPr>
        <w:jc w:val="center"/>
        <w:rPr>
          <w:noProof/>
        </w:rPr>
      </w:pPr>
    </w:p>
    <w:p w14:paraId="6F0EA24C" w14:textId="7477C6B7" w:rsidR="001A7840" w:rsidRPr="00502B21" w:rsidRDefault="001A7840" w:rsidP="000E7EE1">
      <w:pPr>
        <w:jc w:val="center"/>
        <w:rPr>
          <w:rFonts w:hint="eastAsia"/>
          <w:noProof/>
        </w:rPr>
      </w:pPr>
      <w:r w:rsidRPr="00502B21">
        <w:rPr>
          <w:noProof/>
        </w:rPr>
        <w:t xml:space="preserve">1 </w:t>
      </w:r>
      <w:r w:rsidR="00890104">
        <w:rPr>
          <w:rFonts w:hint="eastAsia"/>
          <w:noProof/>
        </w:rPr>
        <w:t>简介</w:t>
      </w:r>
    </w:p>
    <w:p w14:paraId="1F752D08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2 </w:t>
      </w:r>
      <w:r w:rsidRPr="00502B21">
        <w:rPr>
          <w:noProof/>
        </w:rPr>
        <w:t>能源正义与公平</w:t>
      </w:r>
    </w:p>
    <w:p w14:paraId="6D4D4347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3 </w:t>
      </w:r>
      <w:r w:rsidRPr="00502B21">
        <w:rPr>
          <w:noProof/>
        </w:rPr>
        <w:t>脱碳的公共卫生协同效益和影响</w:t>
      </w:r>
    </w:p>
    <w:p w14:paraId="481ADD8C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4 </w:t>
      </w:r>
      <w:r w:rsidRPr="00502B21">
        <w:rPr>
          <w:noProof/>
        </w:rPr>
        <w:t>劳动力需求、机会和支持</w:t>
      </w:r>
    </w:p>
    <w:p w14:paraId="49B22D49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5 </w:t>
      </w:r>
      <w:r w:rsidRPr="00502B21">
        <w:rPr>
          <w:noProof/>
        </w:rPr>
        <w:t>公众参与，为深度脱碳建立强有力的社会契约</w:t>
      </w:r>
    </w:p>
    <w:p w14:paraId="538012CC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6 </w:t>
      </w:r>
      <w:r w:rsidRPr="00502B21">
        <w:rPr>
          <w:noProof/>
        </w:rPr>
        <w:t>清洁电力的重要作用</w:t>
      </w:r>
    </w:p>
    <w:p w14:paraId="735E0EAC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7 </w:t>
      </w:r>
      <w:r w:rsidRPr="00502B21">
        <w:rPr>
          <w:noProof/>
        </w:rPr>
        <w:t>建筑环境</w:t>
      </w:r>
    </w:p>
    <w:p w14:paraId="7A65D245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8 </w:t>
      </w:r>
      <w:r w:rsidRPr="00502B21">
        <w:rPr>
          <w:noProof/>
        </w:rPr>
        <w:t>土地利用</w:t>
      </w:r>
    </w:p>
    <w:p w14:paraId="2F408F96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9 </w:t>
      </w:r>
      <w:r w:rsidRPr="00502B21">
        <w:rPr>
          <w:noProof/>
        </w:rPr>
        <w:t>运输</w:t>
      </w:r>
    </w:p>
    <w:p w14:paraId="5AD14455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10 </w:t>
      </w:r>
      <w:r w:rsidRPr="00502B21">
        <w:rPr>
          <w:noProof/>
        </w:rPr>
        <w:t>工业脱碳</w:t>
      </w:r>
      <w:r w:rsidRPr="00502B21">
        <w:rPr>
          <w:noProof/>
        </w:rPr>
        <w:tab/>
      </w:r>
    </w:p>
    <w:p w14:paraId="29375EBA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11 </w:t>
      </w:r>
      <w:r w:rsidRPr="00502B21">
        <w:rPr>
          <w:noProof/>
        </w:rPr>
        <w:t>使金融部门和资本市场与能源转型保持一致</w:t>
      </w:r>
    </w:p>
    <w:p w14:paraId="4C39C3FC" w14:textId="117174B9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12 </w:t>
      </w:r>
      <w:r w:rsidRPr="00502B21">
        <w:rPr>
          <w:noProof/>
        </w:rPr>
        <w:t>化石燃料的未来</w:t>
      </w:r>
    </w:p>
    <w:p w14:paraId="5F208026" w14:textId="063F88F5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 xml:space="preserve">13 </w:t>
      </w:r>
      <w:r w:rsidRPr="00502B21">
        <w:rPr>
          <w:noProof/>
        </w:rPr>
        <w:t>加强和实现地方行为体的气候</w:t>
      </w:r>
      <w:r w:rsidR="00890104">
        <w:rPr>
          <w:rFonts w:hint="eastAsia"/>
          <w:noProof/>
        </w:rPr>
        <w:t>目标</w:t>
      </w:r>
      <w:r w:rsidRPr="00502B21">
        <w:rPr>
          <w:noProof/>
        </w:rPr>
        <w:t>和能力：州和地方政府的观点</w:t>
      </w:r>
    </w:p>
    <w:p w14:paraId="7CE11754" w14:textId="77777777" w:rsidR="001A7840" w:rsidRPr="00502B21" w:rsidRDefault="001A7840" w:rsidP="000E7EE1">
      <w:pPr>
        <w:jc w:val="center"/>
        <w:rPr>
          <w:noProof/>
        </w:rPr>
      </w:pPr>
    </w:p>
    <w:p w14:paraId="6248F670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</w:p>
    <w:p w14:paraId="24230985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A</w:t>
      </w:r>
      <w:r w:rsidRPr="00502B21">
        <w:rPr>
          <w:noProof/>
        </w:rPr>
        <w:t>：委员会成员履历资料</w:t>
      </w:r>
      <w:r w:rsidRPr="00502B21">
        <w:rPr>
          <w:noProof/>
        </w:rPr>
        <w:tab/>
      </w:r>
    </w:p>
    <w:p w14:paraId="6F30FD31" w14:textId="7777777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B</w:t>
      </w:r>
      <w:r w:rsidRPr="00502B21">
        <w:rPr>
          <w:noProof/>
        </w:rPr>
        <w:t>：披露不可避免的利益冲突</w:t>
      </w:r>
    </w:p>
    <w:p w14:paraId="456E44C0" w14:textId="4E75D194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C</w:t>
      </w:r>
      <w:r w:rsidRPr="00502B21">
        <w:rPr>
          <w:noProof/>
        </w:rPr>
        <w:t>：首次报告政策建议</w:t>
      </w:r>
    </w:p>
    <w:p w14:paraId="32504EA5" w14:textId="18F60BE9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D</w:t>
      </w:r>
      <w:r w:rsidRPr="00502B21">
        <w:rPr>
          <w:noProof/>
        </w:rPr>
        <w:t>：公开会议</w:t>
      </w:r>
      <w:r w:rsidRPr="00502B21">
        <w:rPr>
          <w:noProof/>
        </w:rPr>
        <w:tab/>
      </w:r>
    </w:p>
    <w:p w14:paraId="4DE5E210" w14:textId="3233A7C3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E</w:t>
      </w:r>
      <w:r w:rsidRPr="00502B21">
        <w:rPr>
          <w:noProof/>
        </w:rPr>
        <w:t>：脱碳技术及相关的公平和正义问题</w:t>
      </w:r>
    </w:p>
    <w:p w14:paraId="071E5CA7" w14:textId="4A88C7E6" w:rsidR="001A7840" w:rsidRPr="00502B21" w:rsidRDefault="001A7840" w:rsidP="000E7EE1">
      <w:pPr>
        <w:jc w:val="center"/>
        <w:rPr>
          <w:rFonts w:hint="eastAsia"/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F</w:t>
      </w:r>
      <w:r w:rsidRPr="00502B21">
        <w:rPr>
          <w:noProof/>
        </w:rPr>
        <w:t>：公平与正义记分卡</w:t>
      </w:r>
      <w:r w:rsidR="00890104">
        <w:rPr>
          <w:rFonts w:hint="eastAsia"/>
          <w:noProof/>
        </w:rPr>
        <w:t>——</w:t>
      </w:r>
      <w:r w:rsidR="00890104" w:rsidRPr="00502B21">
        <w:rPr>
          <w:noProof/>
        </w:rPr>
        <w:t>《通胀削减法》</w:t>
      </w:r>
      <w:r w:rsidR="00890104">
        <w:rPr>
          <w:rFonts w:hint="eastAsia"/>
          <w:noProof/>
        </w:rPr>
        <w:t>（</w:t>
      </w:r>
      <w:r w:rsidR="00890104" w:rsidRPr="00890104">
        <w:rPr>
          <w:i/>
          <w:iCs/>
          <w:noProof/>
        </w:rPr>
        <w:t>Inflation Reduction Act</w:t>
      </w:r>
      <w:r w:rsidR="00890104">
        <w:rPr>
          <w:rFonts w:hint="eastAsia"/>
          <w:noProof/>
        </w:rPr>
        <w:t>）</w:t>
      </w:r>
      <w:r w:rsidR="00890104">
        <w:rPr>
          <w:rFonts w:hint="eastAsia"/>
          <w:noProof/>
        </w:rPr>
        <w:t>条款</w:t>
      </w:r>
    </w:p>
    <w:p w14:paraId="32D5282B" w14:textId="6E244EE7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G</w:t>
      </w:r>
      <w:r w:rsidRPr="00502B21">
        <w:rPr>
          <w:noProof/>
        </w:rPr>
        <w:t>：</w:t>
      </w:r>
      <w:r w:rsidR="00890104" w:rsidRPr="00890104">
        <w:rPr>
          <w:rFonts w:hint="eastAsia"/>
          <w:noProof/>
        </w:rPr>
        <w:t>由</w:t>
      </w:r>
      <w:r w:rsidR="00890104" w:rsidRPr="00890104">
        <w:rPr>
          <w:rFonts w:hint="eastAsia"/>
          <w:noProof/>
        </w:rPr>
        <w:t>40</w:t>
      </w:r>
      <w:r w:rsidR="00890104" w:rsidRPr="00890104">
        <w:rPr>
          <w:rFonts w:hint="eastAsia"/>
          <w:noProof/>
        </w:rPr>
        <w:t>个司法覆盖项目的实施者定义的弱势群体</w:t>
      </w:r>
    </w:p>
    <w:p w14:paraId="3672C79F" w14:textId="3AF0590B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H</w:t>
      </w:r>
      <w:r w:rsidRPr="00502B21">
        <w:rPr>
          <w:noProof/>
        </w:rPr>
        <w:t>：《基础设施投资和就业法》</w:t>
      </w:r>
      <w:r w:rsidR="00890104">
        <w:rPr>
          <w:rFonts w:hint="eastAsia"/>
          <w:noProof/>
        </w:rPr>
        <w:t>（</w:t>
      </w:r>
      <w:r w:rsidR="00890104" w:rsidRPr="00890104">
        <w:rPr>
          <w:i/>
          <w:iCs/>
          <w:noProof/>
        </w:rPr>
        <w:t>Infrastructure Investment and Jobs</w:t>
      </w:r>
      <w:r w:rsidR="00890104">
        <w:rPr>
          <w:rFonts w:hint="eastAsia"/>
          <w:noProof/>
        </w:rPr>
        <w:t>）</w:t>
      </w:r>
      <w:r w:rsidRPr="00502B21">
        <w:rPr>
          <w:noProof/>
        </w:rPr>
        <w:t>和《通胀削减法》</w:t>
      </w:r>
      <w:r w:rsidR="00890104">
        <w:rPr>
          <w:rFonts w:hint="eastAsia"/>
          <w:noProof/>
        </w:rPr>
        <w:lastRenderedPageBreak/>
        <w:t>（</w:t>
      </w:r>
      <w:r w:rsidR="00890104" w:rsidRPr="00890104">
        <w:rPr>
          <w:i/>
          <w:iCs/>
          <w:noProof/>
        </w:rPr>
        <w:t>Infrastructure Investment and Jobs</w:t>
      </w:r>
      <w:r w:rsidR="00890104">
        <w:rPr>
          <w:rFonts w:hint="eastAsia"/>
          <w:noProof/>
        </w:rPr>
        <w:t>）</w:t>
      </w:r>
      <w:r w:rsidRPr="00502B21">
        <w:rPr>
          <w:noProof/>
        </w:rPr>
        <w:t>中的公共卫生条款</w:t>
      </w:r>
    </w:p>
    <w:p w14:paraId="6C60FBF8" w14:textId="6C9F50BC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I</w:t>
      </w:r>
      <w:r w:rsidRPr="00502B21">
        <w:rPr>
          <w:noProof/>
        </w:rPr>
        <w:t>：公众参与记分卡</w:t>
      </w:r>
      <w:r w:rsidR="00890104">
        <w:rPr>
          <w:rFonts w:hint="eastAsia"/>
          <w:noProof/>
        </w:rPr>
        <w:t>——</w:t>
      </w:r>
      <w:r w:rsidRPr="00502B21">
        <w:rPr>
          <w:noProof/>
        </w:rPr>
        <w:t>当前的联邦政策组合</w:t>
      </w:r>
    </w:p>
    <w:p w14:paraId="5FAF57CC" w14:textId="3194D00A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J</w:t>
      </w:r>
      <w:r w:rsidRPr="00502B21">
        <w:rPr>
          <w:noProof/>
        </w:rPr>
        <w:t>：《基础设施投资和就业法案》</w:t>
      </w:r>
      <w:r w:rsidR="00890104">
        <w:rPr>
          <w:rFonts w:hint="eastAsia"/>
          <w:noProof/>
        </w:rPr>
        <w:t>（</w:t>
      </w:r>
      <w:r w:rsidR="00890104" w:rsidRPr="00890104">
        <w:rPr>
          <w:i/>
          <w:iCs/>
          <w:noProof/>
        </w:rPr>
        <w:t>Infrastructure Investment and Jobs</w:t>
      </w:r>
      <w:r w:rsidR="00890104">
        <w:rPr>
          <w:rFonts w:hint="eastAsia"/>
          <w:noProof/>
        </w:rPr>
        <w:t>）</w:t>
      </w:r>
      <w:r w:rsidRPr="00502B21">
        <w:rPr>
          <w:noProof/>
        </w:rPr>
        <w:t>和《通胀削减法案》</w:t>
      </w:r>
      <w:r w:rsidR="00890104">
        <w:rPr>
          <w:rFonts w:hint="eastAsia"/>
          <w:noProof/>
        </w:rPr>
        <w:t>（</w:t>
      </w:r>
      <w:r w:rsidR="00890104" w:rsidRPr="00890104">
        <w:rPr>
          <w:i/>
          <w:iCs/>
          <w:noProof/>
        </w:rPr>
        <w:t>Infrastructure Investment and Jobs</w:t>
      </w:r>
      <w:r w:rsidR="00890104">
        <w:rPr>
          <w:rFonts w:hint="eastAsia"/>
          <w:noProof/>
        </w:rPr>
        <w:t>）</w:t>
      </w:r>
      <w:r w:rsidRPr="00502B21">
        <w:rPr>
          <w:noProof/>
        </w:rPr>
        <w:t>涉及地方实体的部分条款</w:t>
      </w:r>
    </w:p>
    <w:p w14:paraId="64C80CF1" w14:textId="28B4A050" w:rsidR="001A7840" w:rsidRPr="00502B21" w:rsidRDefault="001A7840" w:rsidP="000E7EE1">
      <w:pPr>
        <w:jc w:val="center"/>
        <w:rPr>
          <w:noProof/>
        </w:rPr>
      </w:pPr>
      <w:r w:rsidRPr="00502B21">
        <w:rPr>
          <w:noProof/>
        </w:rPr>
        <w:t>附录</w:t>
      </w:r>
      <w:r w:rsidRPr="00502B21">
        <w:rPr>
          <w:noProof/>
        </w:rPr>
        <w:t>K</w:t>
      </w:r>
      <w:r w:rsidRPr="00502B21">
        <w:rPr>
          <w:noProof/>
        </w:rPr>
        <w:t>：</w:t>
      </w:r>
      <w:r w:rsidR="0058233B">
        <w:rPr>
          <w:rFonts w:hint="eastAsia"/>
          <w:noProof/>
        </w:rPr>
        <w:t>首字母缩写</w:t>
      </w:r>
      <w:r w:rsidRPr="00502B21">
        <w:rPr>
          <w:noProof/>
        </w:rPr>
        <w:t>和缩略语</w:t>
      </w:r>
    </w:p>
    <w:p w14:paraId="6CAEAED3" w14:textId="6180E7C9" w:rsidR="0050690C" w:rsidRPr="00502B21" w:rsidRDefault="00511968" w:rsidP="00474E9B">
      <w:pPr>
        <w:rPr>
          <w:noProof/>
        </w:rPr>
      </w:pPr>
      <w:r>
        <w:rPr>
          <w:rFonts w:hint="eastAsia"/>
          <w:noProof/>
        </w:rPr>
        <w:t xml:space="preserve"> </w:t>
      </w:r>
    </w:p>
    <w:p w14:paraId="25B4601B" w14:textId="77777777" w:rsidR="00474E9B" w:rsidRPr="00502B21" w:rsidRDefault="00474E9B" w:rsidP="00474E9B">
      <w:pPr>
        <w:rPr>
          <w:noProof/>
        </w:rPr>
      </w:pPr>
    </w:p>
    <w:p w14:paraId="05292C33" w14:textId="40F67B4F" w:rsidR="00137C6A" w:rsidRPr="00502B21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502B21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502B21" w:rsidRDefault="00FF1579">
      <w:pPr>
        <w:rPr>
          <w:b/>
          <w:color w:val="000000"/>
          <w:szCs w:val="21"/>
        </w:rPr>
      </w:pPr>
      <w:r w:rsidRPr="00502B21">
        <w:rPr>
          <w:b/>
          <w:color w:val="000000"/>
          <w:szCs w:val="21"/>
        </w:rPr>
        <w:t>Email</w:t>
      </w:r>
      <w:r w:rsidRPr="00502B21">
        <w:rPr>
          <w:color w:val="000000"/>
          <w:szCs w:val="21"/>
        </w:rPr>
        <w:t>：</w:t>
      </w:r>
      <w:hyperlink r:id="rId10" w:history="1">
        <w:r w:rsidRPr="00502B21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502B21" w:rsidRDefault="00FF1579">
      <w:pPr>
        <w:rPr>
          <w:b/>
          <w:color w:val="000000"/>
          <w:szCs w:val="21"/>
        </w:rPr>
      </w:pPr>
      <w:r w:rsidRPr="00502B21">
        <w:rPr>
          <w:color w:val="000000"/>
          <w:szCs w:val="21"/>
        </w:rPr>
        <w:t>安德鲁</w:t>
      </w:r>
      <w:r w:rsidRPr="00502B21">
        <w:rPr>
          <w:color w:val="000000"/>
          <w:szCs w:val="21"/>
        </w:rPr>
        <w:t>·</w:t>
      </w:r>
      <w:r w:rsidRPr="00502B21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502B21" w:rsidRDefault="00FF1579">
      <w:pPr>
        <w:rPr>
          <w:b/>
          <w:color w:val="000000"/>
          <w:szCs w:val="21"/>
        </w:rPr>
      </w:pPr>
      <w:r w:rsidRPr="00502B21">
        <w:rPr>
          <w:color w:val="000000"/>
          <w:szCs w:val="21"/>
        </w:rPr>
        <w:t>北京市海淀区中关村大街甲</w:t>
      </w:r>
      <w:r w:rsidRPr="00502B21">
        <w:rPr>
          <w:color w:val="000000"/>
          <w:szCs w:val="21"/>
        </w:rPr>
        <w:t>59</w:t>
      </w:r>
      <w:r w:rsidRPr="00502B21">
        <w:rPr>
          <w:color w:val="000000"/>
          <w:szCs w:val="21"/>
        </w:rPr>
        <w:t>号中国人民大学文化大厦</w:t>
      </w:r>
      <w:r w:rsidRPr="00502B21">
        <w:rPr>
          <w:color w:val="000000"/>
          <w:szCs w:val="21"/>
        </w:rPr>
        <w:t>1705</w:t>
      </w:r>
      <w:r w:rsidRPr="00502B21">
        <w:rPr>
          <w:color w:val="000000"/>
          <w:szCs w:val="21"/>
        </w:rPr>
        <w:t>室</w:t>
      </w:r>
      <w:r w:rsidRPr="00502B21">
        <w:rPr>
          <w:color w:val="000000"/>
          <w:szCs w:val="21"/>
        </w:rPr>
        <w:t xml:space="preserve">, </w:t>
      </w:r>
      <w:r w:rsidRPr="00502B21">
        <w:rPr>
          <w:color w:val="000000"/>
          <w:szCs w:val="21"/>
        </w:rPr>
        <w:t>邮编：</w:t>
      </w:r>
      <w:r w:rsidRPr="00502B21">
        <w:rPr>
          <w:color w:val="000000"/>
          <w:szCs w:val="21"/>
        </w:rPr>
        <w:t>100872</w:t>
      </w:r>
    </w:p>
    <w:p w14:paraId="4DD14A44" w14:textId="052953EA" w:rsidR="00137C6A" w:rsidRPr="00502B21" w:rsidRDefault="00FF1579">
      <w:pPr>
        <w:rPr>
          <w:b/>
          <w:color w:val="000000"/>
          <w:szCs w:val="21"/>
        </w:rPr>
      </w:pPr>
      <w:r w:rsidRPr="00502B21">
        <w:rPr>
          <w:color w:val="000000"/>
          <w:szCs w:val="21"/>
        </w:rPr>
        <w:t>电话：</w:t>
      </w:r>
      <w:r w:rsidRPr="00502B21">
        <w:rPr>
          <w:color w:val="000000"/>
          <w:szCs w:val="21"/>
        </w:rPr>
        <w:t xml:space="preserve">010-82504106, </w:t>
      </w:r>
      <w:r w:rsidRPr="00502B21">
        <w:rPr>
          <w:color w:val="000000"/>
          <w:szCs w:val="21"/>
        </w:rPr>
        <w:t>传真：</w:t>
      </w:r>
      <w:r w:rsidRPr="00502B21">
        <w:rPr>
          <w:color w:val="000000"/>
          <w:szCs w:val="21"/>
        </w:rPr>
        <w:t>010-82504200</w:t>
      </w:r>
    </w:p>
    <w:p w14:paraId="711AFED2" w14:textId="77777777" w:rsidR="00137C6A" w:rsidRPr="00502B21" w:rsidRDefault="00FF1579">
      <w:pPr>
        <w:rPr>
          <w:rStyle w:val="ab"/>
          <w:szCs w:val="21"/>
        </w:rPr>
      </w:pPr>
      <w:r w:rsidRPr="00502B21">
        <w:rPr>
          <w:color w:val="000000"/>
          <w:szCs w:val="21"/>
        </w:rPr>
        <w:t>公司网址：</w:t>
      </w:r>
      <w:hyperlink r:id="rId11" w:history="1">
        <w:r w:rsidRPr="00502B21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502B21" w:rsidRDefault="00FF1579">
      <w:pPr>
        <w:rPr>
          <w:color w:val="000000"/>
          <w:szCs w:val="21"/>
        </w:rPr>
      </w:pPr>
      <w:r w:rsidRPr="00502B21">
        <w:rPr>
          <w:color w:val="000000"/>
          <w:szCs w:val="21"/>
        </w:rPr>
        <w:t>书目下载：</w:t>
      </w:r>
      <w:hyperlink r:id="rId12" w:history="1">
        <w:r w:rsidRPr="00502B21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502B21" w:rsidRDefault="00FF1579">
      <w:pPr>
        <w:rPr>
          <w:color w:val="000000"/>
          <w:szCs w:val="21"/>
        </w:rPr>
      </w:pPr>
      <w:r w:rsidRPr="00502B21">
        <w:rPr>
          <w:color w:val="000000"/>
          <w:szCs w:val="21"/>
        </w:rPr>
        <w:t>书讯浏览：</w:t>
      </w:r>
      <w:hyperlink r:id="rId13" w:history="1">
        <w:r w:rsidRPr="00502B21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502B21" w:rsidRDefault="00FF1579">
      <w:pPr>
        <w:rPr>
          <w:color w:val="000000"/>
          <w:szCs w:val="21"/>
        </w:rPr>
      </w:pPr>
      <w:r w:rsidRPr="00502B21">
        <w:rPr>
          <w:color w:val="000000"/>
          <w:szCs w:val="21"/>
        </w:rPr>
        <w:t>视频推荐：</w:t>
      </w:r>
      <w:hyperlink r:id="rId14" w:history="1">
        <w:r w:rsidRPr="00502B21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502B21" w:rsidRDefault="00FF1579">
      <w:pPr>
        <w:rPr>
          <w:rStyle w:val="ab"/>
          <w:szCs w:val="21"/>
        </w:rPr>
      </w:pPr>
      <w:r w:rsidRPr="00502B21">
        <w:rPr>
          <w:color w:val="000000"/>
          <w:szCs w:val="21"/>
        </w:rPr>
        <w:t>豆瓣小站：</w:t>
      </w:r>
      <w:hyperlink r:id="rId15" w:history="1">
        <w:r w:rsidRPr="00502B21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502B21" w:rsidRDefault="00FF1579">
      <w:pPr>
        <w:rPr>
          <w:color w:val="000000"/>
          <w:shd w:val="clear" w:color="auto" w:fill="FFFFFF"/>
        </w:rPr>
      </w:pPr>
      <w:r w:rsidRPr="00502B21">
        <w:rPr>
          <w:color w:val="000000"/>
          <w:shd w:val="clear" w:color="auto" w:fill="FFFFFF"/>
        </w:rPr>
        <w:t>新浪微博</w:t>
      </w:r>
      <w:r w:rsidRPr="00502B21">
        <w:rPr>
          <w:bCs/>
          <w:color w:val="000000"/>
          <w:shd w:val="clear" w:color="auto" w:fill="FFFFFF"/>
        </w:rPr>
        <w:t>：</w:t>
      </w:r>
      <w:hyperlink r:id="rId16" w:history="1">
        <w:r w:rsidRPr="00502B21">
          <w:rPr>
            <w:color w:val="0000FF"/>
            <w:u w:val="single"/>
            <w:shd w:val="clear" w:color="auto" w:fill="FFFFFF"/>
          </w:rPr>
          <w:t>安德鲁纳伯格公司的微博</w:t>
        </w:r>
        <w:r w:rsidRPr="00502B21">
          <w:rPr>
            <w:color w:val="0000FF"/>
            <w:u w:val="single"/>
            <w:shd w:val="clear" w:color="auto" w:fill="FFFFFF"/>
          </w:rPr>
          <w:t>_</w:t>
        </w:r>
        <w:r w:rsidRPr="00502B21">
          <w:rPr>
            <w:color w:val="0000FF"/>
            <w:u w:val="single"/>
            <w:shd w:val="clear" w:color="auto" w:fill="FFFFFF"/>
          </w:rPr>
          <w:t>微博</w:t>
        </w:r>
        <w:r w:rsidRPr="00502B2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502B21" w:rsidRDefault="00FF1579">
      <w:pPr>
        <w:shd w:val="clear" w:color="auto" w:fill="FFFFFF"/>
        <w:rPr>
          <w:b/>
          <w:color w:val="000000"/>
        </w:rPr>
      </w:pPr>
      <w:r w:rsidRPr="00502B21">
        <w:rPr>
          <w:color w:val="000000"/>
          <w:szCs w:val="21"/>
        </w:rPr>
        <w:t>微信订阅号：</w:t>
      </w:r>
      <w:r w:rsidRPr="00502B21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502B21" w:rsidRDefault="00F05A6A">
      <w:pPr>
        <w:ind w:right="420"/>
        <w:rPr>
          <w:color w:val="000000"/>
          <w:kern w:val="0"/>
          <w:szCs w:val="21"/>
        </w:rPr>
      </w:pPr>
      <w:r w:rsidRPr="00502B21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502B21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502B21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502B21" w:rsidRDefault="00870450">
      <w:pPr>
        <w:ind w:right="420"/>
        <w:rPr>
          <w:color w:val="000000"/>
          <w:kern w:val="0"/>
          <w:szCs w:val="21"/>
        </w:rPr>
      </w:pPr>
    </w:p>
    <w:sectPr w:rsidR="00870450" w:rsidRPr="00502B2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168E" w14:textId="77777777" w:rsidR="00B10F10" w:rsidRDefault="00B10F10">
      <w:r>
        <w:separator/>
      </w:r>
    </w:p>
  </w:endnote>
  <w:endnote w:type="continuationSeparator" w:id="0">
    <w:p w14:paraId="0F6CB5F8" w14:textId="77777777" w:rsidR="00B10F10" w:rsidRDefault="00B1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C328" w14:textId="77777777" w:rsidR="00B10F10" w:rsidRDefault="00B10F10">
      <w:r>
        <w:separator/>
      </w:r>
    </w:p>
  </w:footnote>
  <w:footnote w:type="continuationSeparator" w:id="0">
    <w:p w14:paraId="12A1E358" w14:textId="77777777" w:rsidR="00B10F10" w:rsidRDefault="00B1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71041659">
    <w:abstractNumId w:val="6"/>
  </w:num>
  <w:num w:numId="2" w16cid:durableId="985472706">
    <w:abstractNumId w:val="21"/>
  </w:num>
  <w:num w:numId="3" w16cid:durableId="825898131">
    <w:abstractNumId w:val="13"/>
  </w:num>
  <w:num w:numId="4" w16cid:durableId="312292063">
    <w:abstractNumId w:val="26"/>
  </w:num>
  <w:num w:numId="5" w16cid:durableId="890461925">
    <w:abstractNumId w:val="8"/>
  </w:num>
  <w:num w:numId="6" w16cid:durableId="182519495">
    <w:abstractNumId w:val="1"/>
  </w:num>
  <w:num w:numId="7" w16cid:durableId="1167406757">
    <w:abstractNumId w:val="24"/>
  </w:num>
  <w:num w:numId="8" w16cid:durableId="2128430243">
    <w:abstractNumId w:val="23"/>
  </w:num>
  <w:num w:numId="9" w16cid:durableId="590626743">
    <w:abstractNumId w:val="0"/>
  </w:num>
  <w:num w:numId="10" w16cid:durableId="551815975">
    <w:abstractNumId w:val="14"/>
  </w:num>
  <w:num w:numId="11" w16cid:durableId="33703630">
    <w:abstractNumId w:val="16"/>
  </w:num>
  <w:num w:numId="12" w16cid:durableId="3556988">
    <w:abstractNumId w:val="11"/>
  </w:num>
  <w:num w:numId="13" w16cid:durableId="1040476028">
    <w:abstractNumId w:val="22"/>
  </w:num>
  <w:num w:numId="14" w16cid:durableId="630289384">
    <w:abstractNumId w:val="17"/>
  </w:num>
  <w:num w:numId="15" w16cid:durableId="54553397">
    <w:abstractNumId w:val="27"/>
  </w:num>
  <w:num w:numId="16" w16cid:durableId="1121462754">
    <w:abstractNumId w:val="25"/>
  </w:num>
  <w:num w:numId="17" w16cid:durableId="630280939">
    <w:abstractNumId w:val="10"/>
  </w:num>
  <w:num w:numId="18" w16cid:durableId="649477017">
    <w:abstractNumId w:val="4"/>
  </w:num>
  <w:num w:numId="19" w16cid:durableId="1997416747">
    <w:abstractNumId w:val="3"/>
  </w:num>
  <w:num w:numId="20" w16cid:durableId="1032457902">
    <w:abstractNumId w:val="19"/>
  </w:num>
  <w:num w:numId="21" w16cid:durableId="1655602526">
    <w:abstractNumId w:val="2"/>
  </w:num>
  <w:num w:numId="22" w16cid:durableId="1021712135">
    <w:abstractNumId w:val="5"/>
  </w:num>
  <w:num w:numId="23" w16cid:durableId="1987125381">
    <w:abstractNumId w:val="7"/>
  </w:num>
  <w:num w:numId="24" w16cid:durableId="904948068">
    <w:abstractNumId w:val="9"/>
  </w:num>
  <w:num w:numId="25" w16cid:durableId="1098915494">
    <w:abstractNumId w:val="12"/>
  </w:num>
  <w:num w:numId="26" w16cid:durableId="1256593540">
    <w:abstractNumId w:val="18"/>
  </w:num>
  <w:num w:numId="27" w16cid:durableId="1145897316">
    <w:abstractNumId w:val="15"/>
  </w:num>
  <w:num w:numId="28" w16cid:durableId="107428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36B38"/>
    <w:rsid w:val="00040304"/>
    <w:rsid w:val="00040E55"/>
    <w:rsid w:val="00044E33"/>
    <w:rsid w:val="0005032E"/>
    <w:rsid w:val="00061C2C"/>
    <w:rsid w:val="000665FD"/>
    <w:rsid w:val="000675E9"/>
    <w:rsid w:val="00067C66"/>
    <w:rsid w:val="0007467F"/>
    <w:rsid w:val="000803A7"/>
    <w:rsid w:val="00080CD8"/>
    <w:rsid w:val="000810D5"/>
    <w:rsid w:val="000811E9"/>
    <w:rsid w:val="00082226"/>
    <w:rsid w:val="00082504"/>
    <w:rsid w:val="00086D63"/>
    <w:rsid w:val="0008781E"/>
    <w:rsid w:val="000914F5"/>
    <w:rsid w:val="00091E82"/>
    <w:rsid w:val="000960A9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416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2876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4B5A"/>
    <w:rsid w:val="00185B3C"/>
    <w:rsid w:val="00187B77"/>
    <w:rsid w:val="00193733"/>
    <w:rsid w:val="00195D6F"/>
    <w:rsid w:val="001A2F58"/>
    <w:rsid w:val="001A67BB"/>
    <w:rsid w:val="001A7840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9FD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82735"/>
    <w:rsid w:val="00286E84"/>
    <w:rsid w:val="00295289"/>
    <w:rsid w:val="00295FD8"/>
    <w:rsid w:val="0029676A"/>
    <w:rsid w:val="002A1A26"/>
    <w:rsid w:val="002A391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E7313"/>
    <w:rsid w:val="002F362B"/>
    <w:rsid w:val="002F4176"/>
    <w:rsid w:val="00304C83"/>
    <w:rsid w:val="003065D4"/>
    <w:rsid w:val="00306A93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01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43D0"/>
    <w:rsid w:val="00474A11"/>
    <w:rsid w:val="00474E9B"/>
    <w:rsid w:val="00476229"/>
    <w:rsid w:val="00477175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5F31"/>
    <w:rsid w:val="004F6FDA"/>
    <w:rsid w:val="0050133A"/>
    <w:rsid w:val="00502B21"/>
    <w:rsid w:val="00503654"/>
    <w:rsid w:val="00505E3E"/>
    <w:rsid w:val="00506296"/>
    <w:rsid w:val="005068E8"/>
    <w:rsid w:val="0050690C"/>
    <w:rsid w:val="00507886"/>
    <w:rsid w:val="0051025C"/>
    <w:rsid w:val="00511968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0A13"/>
    <w:rsid w:val="005510E7"/>
    <w:rsid w:val="00553324"/>
    <w:rsid w:val="00553CE6"/>
    <w:rsid w:val="00554EB4"/>
    <w:rsid w:val="00555659"/>
    <w:rsid w:val="00561C3F"/>
    <w:rsid w:val="005649E2"/>
    <w:rsid w:val="00564FD9"/>
    <w:rsid w:val="00567D91"/>
    <w:rsid w:val="00581810"/>
    <w:rsid w:val="0058233B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41CE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3089"/>
    <w:rsid w:val="00675FE9"/>
    <w:rsid w:val="00680EFB"/>
    <w:rsid w:val="006822A6"/>
    <w:rsid w:val="00690617"/>
    <w:rsid w:val="006A37A4"/>
    <w:rsid w:val="006B6CAB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11BD"/>
    <w:rsid w:val="00715F9D"/>
    <w:rsid w:val="007169D6"/>
    <w:rsid w:val="0072026B"/>
    <w:rsid w:val="007217C5"/>
    <w:rsid w:val="00727A52"/>
    <w:rsid w:val="00731B19"/>
    <w:rsid w:val="00734B83"/>
    <w:rsid w:val="007350E4"/>
    <w:rsid w:val="007364E2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3541"/>
    <w:rsid w:val="007650D5"/>
    <w:rsid w:val="00765FF8"/>
    <w:rsid w:val="007700AC"/>
    <w:rsid w:val="0078455C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7F7A4F"/>
    <w:rsid w:val="00805ED5"/>
    <w:rsid w:val="008129CA"/>
    <w:rsid w:val="00816558"/>
    <w:rsid w:val="00831B64"/>
    <w:rsid w:val="00847846"/>
    <w:rsid w:val="00851813"/>
    <w:rsid w:val="00860088"/>
    <w:rsid w:val="00870450"/>
    <w:rsid w:val="008719CB"/>
    <w:rsid w:val="008833DC"/>
    <w:rsid w:val="00887E41"/>
    <w:rsid w:val="00890104"/>
    <w:rsid w:val="0089492E"/>
    <w:rsid w:val="00895CB6"/>
    <w:rsid w:val="008967FF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0D45"/>
    <w:rsid w:val="008F46C1"/>
    <w:rsid w:val="008F5552"/>
    <w:rsid w:val="00906691"/>
    <w:rsid w:val="009117F5"/>
    <w:rsid w:val="00915F7D"/>
    <w:rsid w:val="00916A50"/>
    <w:rsid w:val="0091728C"/>
    <w:rsid w:val="009222F0"/>
    <w:rsid w:val="0092243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3741"/>
    <w:rsid w:val="00A16B61"/>
    <w:rsid w:val="00A17548"/>
    <w:rsid w:val="00A20CB0"/>
    <w:rsid w:val="00A241E9"/>
    <w:rsid w:val="00A27B87"/>
    <w:rsid w:val="00A40740"/>
    <w:rsid w:val="00A45A3D"/>
    <w:rsid w:val="00A521E5"/>
    <w:rsid w:val="00A54A8E"/>
    <w:rsid w:val="00A55ABD"/>
    <w:rsid w:val="00A55D47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177F"/>
    <w:rsid w:val="00AD23A3"/>
    <w:rsid w:val="00AD2DA8"/>
    <w:rsid w:val="00AD5069"/>
    <w:rsid w:val="00AE1611"/>
    <w:rsid w:val="00AF0671"/>
    <w:rsid w:val="00B01CB7"/>
    <w:rsid w:val="00B057F1"/>
    <w:rsid w:val="00B10F10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1C53"/>
    <w:rsid w:val="00B732F4"/>
    <w:rsid w:val="00B73647"/>
    <w:rsid w:val="00B7682F"/>
    <w:rsid w:val="00B82B32"/>
    <w:rsid w:val="00B82CB7"/>
    <w:rsid w:val="00B831CC"/>
    <w:rsid w:val="00B90F56"/>
    <w:rsid w:val="00B9197F"/>
    <w:rsid w:val="00B928DA"/>
    <w:rsid w:val="00BA25D1"/>
    <w:rsid w:val="00BA2F96"/>
    <w:rsid w:val="00BA488A"/>
    <w:rsid w:val="00BB38B3"/>
    <w:rsid w:val="00BB493B"/>
    <w:rsid w:val="00BB4F54"/>
    <w:rsid w:val="00BB6A0E"/>
    <w:rsid w:val="00BC1F59"/>
    <w:rsid w:val="00BC2DA1"/>
    <w:rsid w:val="00BC3360"/>
    <w:rsid w:val="00BC558C"/>
    <w:rsid w:val="00BC62EF"/>
    <w:rsid w:val="00BC6EBE"/>
    <w:rsid w:val="00BD0F5E"/>
    <w:rsid w:val="00BD418E"/>
    <w:rsid w:val="00BD57A4"/>
    <w:rsid w:val="00BE1235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30CB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38E6"/>
    <w:rsid w:val="00D341FB"/>
    <w:rsid w:val="00D34E95"/>
    <w:rsid w:val="00D37562"/>
    <w:rsid w:val="00D378A7"/>
    <w:rsid w:val="00D426CA"/>
    <w:rsid w:val="00D44BB0"/>
    <w:rsid w:val="00D470AA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13B4"/>
    <w:rsid w:val="00D86D91"/>
    <w:rsid w:val="00D876B7"/>
    <w:rsid w:val="00D90823"/>
    <w:rsid w:val="00D9169B"/>
    <w:rsid w:val="00D96FE3"/>
    <w:rsid w:val="00DA0B6E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2D8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49EF"/>
    <w:rsid w:val="00F25456"/>
    <w:rsid w:val="00F26218"/>
    <w:rsid w:val="00F331B4"/>
    <w:rsid w:val="00F34420"/>
    <w:rsid w:val="00F34483"/>
    <w:rsid w:val="00F349FA"/>
    <w:rsid w:val="00F34A56"/>
    <w:rsid w:val="00F36745"/>
    <w:rsid w:val="00F36C2D"/>
    <w:rsid w:val="00F40E86"/>
    <w:rsid w:val="00F5145D"/>
    <w:rsid w:val="00F54836"/>
    <w:rsid w:val="00F57001"/>
    <w:rsid w:val="00F578E8"/>
    <w:rsid w:val="00F57900"/>
    <w:rsid w:val="00F57A62"/>
    <w:rsid w:val="00F61592"/>
    <w:rsid w:val="00F62E71"/>
    <w:rsid w:val="00F6382F"/>
    <w:rsid w:val="00F64BB7"/>
    <w:rsid w:val="00F6635E"/>
    <w:rsid w:val="00F668A4"/>
    <w:rsid w:val="00F703D0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402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30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694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16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25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2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CCCCCC"/>
            <w:right w:val="single" w:sz="2" w:space="0" w:color="auto"/>
          </w:divBdr>
          <w:divsChild>
            <w:div w:id="1647659241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089106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097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8131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06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8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7067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250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6388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26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8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8233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DBB1-D8D6-443E-A359-238DB31D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404</Words>
  <Characters>2304</Characters>
  <Application>Microsoft Office Word</Application>
  <DocSecurity>0</DocSecurity>
  <Lines>19</Lines>
  <Paragraphs>5</Paragraphs>
  <ScaleCrop>false</ScaleCrop>
  <Company>2ndSpAcE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8</cp:revision>
  <cp:lastPrinted>2005-06-10T06:33:00Z</cp:lastPrinted>
  <dcterms:created xsi:type="dcterms:W3CDTF">2023-11-27T02:19:00Z</dcterms:created>
  <dcterms:modified xsi:type="dcterms:W3CDTF">2024-01-24T09:13:00Z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