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6E34B6" w:rsidP="00774233">
      <w:pPr>
        <w:tabs>
          <w:tab w:val="left" w:pos="341"/>
          <w:tab w:val="left" w:pos="5235"/>
        </w:tabs>
        <w:rPr>
          <w:b/>
          <w:bCs/>
          <w:color w:val="000000"/>
          <w:szCs w:val="21"/>
        </w:rPr>
      </w:pPr>
      <w:r>
        <w:rPr>
          <w:b/>
          <w:bCs/>
          <w:noProof/>
          <w:color w:val="000000"/>
          <w:szCs w:val="21"/>
        </w:rPr>
        <w:drawing>
          <wp:anchor distT="0" distB="0" distL="114300" distR="114300" simplePos="0" relativeHeight="251684864" behindDoc="0" locked="0" layoutInCell="1" allowOverlap="1">
            <wp:simplePos x="0" y="0"/>
            <wp:positionH relativeFrom="margin">
              <wp:align>right</wp:align>
            </wp:positionH>
            <wp:positionV relativeFrom="paragraph">
              <wp:posOffset>9525</wp:posOffset>
            </wp:positionV>
            <wp:extent cx="1329055" cy="1905000"/>
            <wp:effectExtent l="0" t="0" r="4445" b="0"/>
            <wp:wrapTight wrapText="bothSides">
              <wp:wrapPolygon edited="0">
                <wp:start x="0" y="0"/>
                <wp:lineTo x="0" y="21384"/>
                <wp:lineTo x="21363" y="21384"/>
                <wp:lineTo x="2136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329055" cy="19050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6E34B6">
        <w:rPr>
          <w:rFonts w:hint="eastAsia"/>
          <w:b/>
          <w:bCs/>
          <w:color w:val="000000"/>
          <w:szCs w:val="21"/>
        </w:rPr>
        <w:t>隐私经济学</w:t>
      </w:r>
      <w:r w:rsidR="009736A9">
        <w:rPr>
          <w:rFonts w:hint="eastAsia"/>
          <w:b/>
          <w:bCs/>
          <w:color w:val="000000"/>
          <w:szCs w:val="21"/>
        </w:rPr>
        <w:t>》</w:t>
      </w:r>
    </w:p>
    <w:p w:rsidR="00774233" w:rsidRPr="00774233" w:rsidRDefault="00774233" w:rsidP="00EA231C">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1330A" w:rsidRPr="0021330A">
        <w:rPr>
          <w:b/>
          <w:bCs/>
          <w:color w:val="000000"/>
          <w:szCs w:val="21"/>
        </w:rPr>
        <w:t>THE ECONOMICS OF PRIVACY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6E34B6" w:rsidRPr="006E34B6">
        <w:rPr>
          <w:b/>
          <w:bCs/>
          <w:color w:val="000000"/>
          <w:szCs w:val="21"/>
        </w:rPr>
        <w:t>Avi</w:t>
      </w:r>
      <w:proofErr w:type="spellEnd"/>
      <w:r w:rsidR="006E34B6" w:rsidRPr="006E34B6">
        <w:rPr>
          <w:b/>
          <w:bCs/>
          <w:color w:val="000000"/>
          <w:szCs w:val="21"/>
        </w:rPr>
        <w:t xml:space="preserve"> Goldfarb and Catherine E. Tucker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E34B6" w:rsidRPr="006E34B6">
        <w:rPr>
          <w:b/>
          <w:bCs/>
          <w:color w:val="000000"/>
          <w:szCs w:val="21"/>
        </w:rPr>
        <w:t>University of Chicago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6E34B6">
        <w:rPr>
          <w:b/>
          <w:bCs/>
          <w:color w:val="000000"/>
          <w:szCs w:val="21"/>
        </w:rPr>
        <w:t>192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A629D">
        <w:rPr>
          <w:b/>
          <w:bCs/>
          <w:color w:val="000000"/>
          <w:szCs w:val="21"/>
        </w:rPr>
        <w:t>4</w:t>
      </w:r>
      <w:r w:rsidRPr="00774233">
        <w:rPr>
          <w:b/>
          <w:bCs/>
          <w:color w:val="000000"/>
          <w:szCs w:val="21"/>
        </w:rPr>
        <w:t>年</w:t>
      </w:r>
      <w:r w:rsidR="006E34B6">
        <w:rPr>
          <w:b/>
          <w:bCs/>
          <w:color w:val="000000"/>
          <w:szCs w:val="21"/>
        </w:rPr>
        <w:t>7</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6E34B6">
        <w:rPr>
          <w:rFonts w:hint="eastAsia"/>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E34B6" w:rsidRPr="006E34B6" w:rsidRDefault="006E34B6" w:rsidP="006E34B6">
      <w:pPr>
        <w:ind w:firstLineChars="200" w:firstLine="422"/>
        <w:rPr>
          <w:rFonts w:hint="eastAsia"/>
          <w:b/>
          <w:bCs/>
          <w:color w:val="000000"/>
          <w:szCs w:val="21"/>
        </w:rPr>
      </w:pPr>
      <w:r w:rsidRPr="006E34B6">
        <w:rPr>
          <w:rFonts w:hint="eastAsia"/>
          <w:b/>
          <w:bCs/>
          <w:color w:val="000000"/>
          <w:szCs w:val="21"/>
        </w:rPr>
        <w:t>这是一本研究数字时代隐私机制的基础性</w:t>
      </w:r>
      <w:r>
        <w:rPr>
          <w:rFonts w:hint="eastAsia"/>
          <w:b/>
          <w:bCs/>
          <w:color w:val="000000"/>
          <w:szCs w:val="21"/>
        </w:rPr>
        <w:t>新作</w:t>
      </w:r>
      <w:r w:rsidRPr="006E34B6">
        <w:rPr>
          <w:rFonts w:hint="eastAsia"/>
          <w:b/>
          <w:bCs/>
          <w:color w:val="000000"/>
          <w:szCs w:val="21"/>
        </w:rPr>
        <w:t>。</w:t>
      </w:r>
    </w:p>
    <w:p w:rsidR="006E34B6" w:rsidRPr="006E34B6" w:rsidRDefault="006E34B6" w:rsidP="006E34B6">
      <w:pPr>
        <w:ind w:firstLineChars="200" w:firstLine="422"/>
        <w:rPr>
          <w:b/>
          <w:bCs/>
          <w:color w:val="000000"/>
          <w:szCs w:val="21"/>
        </w:rPr>
      </w:pPr>
    </w:p>
    <w:p w:rsidR="00BA429B" w:rsidRDefault="006E34B6" w:rsidP="006E34B6">
      <w:pPr>
        <w:ind w:firstLineChars="200" w:firstLine="420"/>
        <w:rPr>
          <w:bCs/>
          <w:color w:val="000000"/>
          <w:szCs w:val="21"/>
        </w:rPr>
      </w:pPr>
      <w:r>
        <w:rPr>
          <w:rFonts w:hint="eastAsia"/>
          <w:bCs/>
          <w:color w:val="000000"/>
          <w:szCs w:val="21"/>
        </w:rPr>
        <w:t>收集、存储和处理数据的成本不断降低，使得</w:t>
      </w:r>
      <w:r w:rsidRPr="006E34B6">
        <w:rPr>
          <w:rFonts w:hint="eastAsia"/>
          <w:bCs/>
          <w:color w:val="000000"/>
          <w:szCs w:val="21"/>
        </w:rPr>
        <w:t>企业和政府得以改进其产品和服务，但同时</w:t>
      </w:r>
      <w:r>
        <w:rPr>
          <w:rFonts w:hint="eastAsia"/>
          <w:bCs/>
          <w:color w:val="000000"/>
          <w:szCs w:val="21"/>
        </w:rPr>
        <w:t>也创建了包含详细个人信息</w:t>
      </w:r>
      <w:r w:rsidRPr="006E34B6">
        <w:rPr>
          <w:rFonts w:hint="eastAsia"/>
          <w:bCs/>
          <w:color w:val="000000"/>
          <w:szCs w:val="21"/>
        </w:rPr>
        <w:t>的数据库，引发了</w:t>
      </w:r>
      <w:r>
        <w:rPr>
          <w:rFonts w:hint="eastAsia"/>
          <w:bCs/>
          <w:color w:val="000000"/>
          <w:szCs w:val="21"/>
        </w:rPr>
        <w:t>公众</w:t>
      </w:r>
      <w:r w:rsidRPr="006E34B6">
        <w:rPr>
          <w:rFonts w:hint="eastAsia"/>
          <w:bCs/>
          <w:color w:val="000000"/>
          <w:szCs w:val="21"/>
        </w:rPr>
        <w:t>对隐私的担忧。</w:t>
      </w:r>
      <w:r>
        <w:rPr>
          <w:rFonts w:hint="eastAsia"/>
          <w:bCs/>
          <w:color w:val="000000"/>
          <w:szCs w:val="21"/>
        </w:rPr>
        <w:t>本书</w:t>
      </w:r>
      <w:r w:rsidRPr="006E34B6">
        <w:rPr>
          <w:rFonts w:hint="eastAsia"/>
          <w:bCs/>
          <w:color w:val="000000"/>
          <w:szCs w:val="21"/>
        </w:rPr>
        <w:t>总结了有关隐私经济学的研究，并指出了</w:t>
      </w:r>
      <w:r>
        <w:rPr>
          <w:rFonts w:hint="eastAsia"/>
          <w:bCs/>
          <w:color w:val="000000"/>
          <w:szCs w:val="21"/>
        </w:rPr>
        <w:t>关于</w:t>
      </w:r>
      <w:r w:rsidRPr="006E34B6">
        <w:rPr>
          <w:rFonts w:hint="eastAsia"/>
          <w:bCs/>
          <w:color w:val="000000"/>
          <w:szCs w:val="21"/>
        </w:rPr>
        <w:t>隐私价值、产权和市场在隐私与数据方面的作用、隐私与不平等之间的关系以及隐私监管的政治经济等方面</w:t>
      </w:r>
      <w:r w:rsidRPr="006E34B6">
        <w:rPr>
          <w:rFonts w:hint="eastAsia"/>
          <w:bCs/>
          <w:color w:val="000000"/>
          <w:szCs w:val="21"/>
        </w:rPr>
        <w:t>尚未解决的</w:t>
      </w:r>
      <w:r w:rsidRPr="006E34B6">
        <w:rPr>
          <w:rFonts w:hint="eastAsia"/>
          <w:bCs/>
          <w:color w:val="000000"/>
          <w:szCs w:val="21"/>
        </w:rPr>
        <w:t>问题。</w:t>
      </w:r>
    </w:p>
    <w:p w:rsidR="006E34B6" w:rsidRDefault="006E34B6" w:rsidP="006E34B6">
      <w:pPr>
        <w:ind w:firstLineChars="200" w:firstLine="420"/>
        <w:rPr>
          <w:bCs/>
          <w:color w:val="000000"/>
          <w:szCs w:val="21"/>
        </w:rPr>
      </w:pPr>
    </w:p>
    <w:p w:rsidR="006E34B6" w:rsidRPr="006E34B6" w:rsidRDefault="006E34B6" w:rsidP="006E34B6">
      <w:pPr>
        <w:ind w:firstLineChars="200" w:firstLine="420"/>
        <w:rPr>
          <w:rFonts w:hint="eastAsia"/>
          <w:bCs/>
          <w:color w:val="000000"/>
          <w:szCs w:val="21"/>
        </w:rPr>
      </w:pPr>
      <w:r w:rsidRPr="006E34B6">
        <w:rPr>
          <w:rFonts w:hint="eastAsia"/>
          <w:bCs/>
          <w:color w:val="000000"/>
          <w:szCs w:val="21"/>
        </w:rPr>
        <w:t>书中几个主题贯穿始终。其中之一是，即使产权定义明确，交易成本较低，通过建立隐私权市场来解决隐私问题可能</w:t>
      </w:r>
      <w:r>
        <w:rPr>
          <w:rFonts w:hint="eastAsia"/>
          <w:bCs/>
          <w:color w:val="000000"/>
          <w:szCs w:val="21"/>
        </w:rPr>
        <w:t>也</w:t>
      </w:r>
      <w:r w:rsidRPr="006E34B6">
        <w:rPr>
          <w:rFonts w:hint="eastAsia"/>
          <w:bCs/>
          <w:color w:val="000000"/>
          <w:szCs w:val="21"/>
        </w:rPr>
        <w:t>并不可行。另一个问题是，很难衡量和估价隐私</w:t>
      </w:r>
      <w:r w:rsidR="001D5783">
        <w:rPr>
          <w:rFonts w:hint="eastAsia"/>
          <w:bCs/>
          <w:color w:val="000000"/>
          <w:szCs w:val="21"/>
        </w:rPr>
        <w:t>带来</w:t>
      </w:r>
      <w:r w:rsidRPr="006E34B6">
        <w:rPr>
          <w:rFonts w:hint="eastAsia"/>
          <w:bCs/>
          <w:color w:val="000000"/>
          <w:szCs w:val="21"/>
        </w:rPr>
        <w:t>的</w:t>
      </w:r>
      <w:r w:rsidR="001D5783">
        <w:rPr>
          <w:rFonts w:hint="eastAsia"/>
          <w:bCs/>
          <w:color w:val="000000"/>
          <w:szCs w:val="21"/>
        </w:rPr>
        <w:t>益处，尤其是当个人对隐私</w:t>
      </w:r>
      <w:r w:rsidRPr="006E34B6">
        <w:rPr>
          <w:rFonts w:hint="eastAsia"/>
          <w:bCs/>
          <w:color w:val="000000"/>
          <w:szCs w:val="21"/>
        </w:rPr>
        <w:t>有内在偏好时。之前的大多数估值尝试都只关注可量化的经济成果，如创新。最后，从经济学角度定义隐私具有挑战性。更广泛的学术和法律文献</w:t>
      </w:r>
      <w:r w:rsidR="001D5783">
        <w:rPr>
          <w:rFonts w:hint="eastAsia"/>
          <w:bCs/>
          <w:color w:val="000000"/>
          <w:szCs w:val="21"/>
        </w:rPr>
        <w:t>中</w:t>
      </w:r>
      <w:r w:rsidRPr="006E34B6">
        <w:rPr>
          <w:rFonts w:hint="eastAsia"/>
          <w:bCs/>
          <w:color w:val="000000"/>
          <w:szCs w:val="21"/>
        </w:rPr>
        <w:t>包含了许多不同的隐私定义，不同的定义可能适用于不同的</w:t>
      </w:r>
      <w:r w:rsidR="001D5783" w:rsidRPr="001D5783">
        <w:rPr>
          <w:rFonts w:hint="eastAsia"/>
          <w:bCs/>
          <w:color w:val="000000"/>
          <w:szCs w:val="21"/>
        </w:rPr>
        <w:t>情境</w:t>
      </w:r>
      <w:r w:rsidRPr="006E34B6">
        <w:rPr>
          <w:rFonts w:hint="eastAsia"/>
          <w:bCs/>
          <w:color w:val="000000"/>
          <w:szCs w:val="21"/>
        </w:rPr>
        <w:t>。</w:t>
      </w:r>
      <w:r w:rsidR="001D5783" w:rsidRPr="001D5783">
        <w:rPr>
          <w:rFonts w:hint="eastAsia"/>
          <w:bCs/>
          <w:color w:val="000000"/>
          <w:szCs w:val="21"/>
        </w:rPr>
        <w:t>这些章节</w:t>
      </w:r>
      <w:r w:rsidRPr="006E34B6">
        <w:rPr>
          <w:rFonts w:hint="eastAsia"/>
          <w:bCs/>
          <w:color w:val="000000"/>
          <w:szCs w:val="21"/>
        </w:rPr>
        <w:t>探讨了研究这些问题的各种框架，</w:t>
      </w:r>
      <w:r w:rsidR="001D5783">
        <w:rPr>
          <w:rFonts w:hint="eastAsia"/>
          <w:bCs/>
          <w:color w:val="000000"/>
          <w:szCs w:val="21"/>
        </w:rPr>
        <w:t>并提供了一系列新的视角来看待经济学研究在理解隐私和数据流</w:t>
      </w:r>
      <w:r w:rsidR="001D5783" w:rsidRPr="001D5783">
        <w:rPr>
          <w:rFonts w:hint="eastAsia"/>
          <w:bCs/>
          <w:color w:val="000000"/>
          <w:szCs w:val="21"/>
        </w:rPr>
        <w:t>的利益和成本</w:t>
      </w:r>
      <w:r w:rsidRPr="006E34B6">
        <w:rPr>
          <w:rFonts w:hint="eastAsia"/>
          <w:bCs/>
          <w:color w:val="000000"/>
          <w:szCs w:val="21"/>
        </w:rPr>
        <w:t>方面的作用。随着数字经济不断扩大经济学理论和研究的范围，《隐私经济学》为该领域及其下一步发展提供了迄今为止最全面的调查。</w:t>
      </w:r>
    </w:p>
    <w:p w:rsidR="00981D4C" w:rsidRPr="006E34B6" w:rsidRDefault="00981D4C" w:rsidP="00981D4C">
      <w:pPr>
        <w:rPr>
          <w:szCs w:val="21"/>
        </w:rPr>
      </w:pPr>
    </w:p>
    <w:p w:rsidR="008F5D73" w:rsidRDefault="008F5D73"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Default="001D5783" w:rsidP="003971B4">
      <w:pPr>
        <w:ind w:firstLineChars="200" w:firstLine="420"/>
        <w:rPr>
          <w:noProof/>
        </w:rPr>
      </w:pPr>
      <w:r>
        <w:rPr>
          <w:noProof/>
        </w:rPr>
        <w:drawing>
          <wp:anchor distT="0" distB="0" distL="114300" distR="114300" simplePos="0" relativeHeight="251686912" behindDoc="0" locked="0" layoutInCell="1" allowOverlap="1" wp14:anchorId="1326C447" wp14:editId="0C9A69A6">
            <wp:simplePos x="0" y="0"/>
            <wp:positionH relativeFrom="margin">
              <wp:align>left</wp:align>
            </wp:positionH>
            <wp:positionV relativeFrom="paragraph">
              <wp:posOffset>8255</wp:posOffset>
            </wp:positionV>
            <wp:extent cx="765175" cy="765175"/>
            <wp:effectExtent l="0" t="0" r="0" b="0"/>
            <wp:wrapTight wrapText="bothSides">
              <wp:wrapPolygon edited="0">
                <wp:start x="0" y="0"/>
                <wp:lineTo x="0" y="20973"/>
                <wp:lineTo x="20973" y="20973"/>
                <wp:lineTo x="20973"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8182" cy="768182"/>
                    </a:xfrm>
                    <a:prstGeom prst="rect">
                      <a:avLst/>
                    </a:prstGeom>
                  </pic:spPr>
                </pic:pic>
              </a:graphicData>
            </a:graphic>
            <wp14:sizeRelH relativeFrom="margin">
              <wp14:pctWidth>0</wp14:pctWidth>
            </wp14:sizeRelH>
            <wp14:sizeRelV relativeFrom="margin">
              <wp14:pctHeight>0</wp14:pctHeight>
            </wp14:sizeRelV>
          </wp:anchor>
        </w:drawing>
      </w:r>
      <w:r w:rsidRPr="001D5783">
        <w:rPr>
          <w:rFonts w:hint="eastAsia"/>
          <w:b/>
        </w:rPr>
        <w:t>阿维·戈德法布（</w:t>
      </w:r>
      <w:r w:rsidRPr="001D5783">
        <w:rPr>
          <w:rFonts w:hint="eastAsia"/>
          <w:b/>
          <w:noProof/>
        </w:rPr>
        <w:t>Avi Goldfarb</w:t>
      </w:r>
      <w:r w:rsidRPr="001D5783">
        <w:rPr>
          <w:rFonts w:hint="eastAsia"/>
          <w:b/>
        </w:rPr>
        <w:t>）</w:t>
      </w:r>
      <w:r w:rsidRPr="001D5783">
        <w:rPr>
          <w:rFonts w:hint="eastAsia"/>
          <w:noProof/>
        </w:rPr>
        <w:t>担任多伦多大学罗特曼管理学院人工智能与医疗保健系罗特曼讲座教授和市场营销系教授。阿维是</w:t>
      </w:r>
      <w:r>
        <w:rPr>
          <w:rFonts w:hint="eastAsia"/>
          <w:noProof/>
        </w:rPr>
        <w:t>创新颠覆</w:t>
      </w:r>
      <w:r w:rsidRPr="001D5783">
        <w:rPr>
          <w:rFonts w:hint="eastAsia"/>
          <w:noProof/>
        </w:rPr>
        <w:t>实验室（</w:t>
      </w:r>
      <w:r w:rsidRPr="001D5783">
        <w:rPr>
          <w:rFonts w:hint="eastAsia"/>
          <w:noProof/>
        </w:rPr>
        <w:t>Creative Destruction Lab</w:t>
      </w:r>
      <w:r w:rsidRPr="001D5783">
        <w:rPr>
          <w:rFonts w:hint="eastAsia"/>
          <w:noProof/>
        </w:rPr>
        <w:t>）的首席数据科学家，也是向量研究所（</w:t>
      </w:r>
      <w:r w:rsidRPr="001D5783">
        <w:rPr>
          <w:rFonts w:hint="eastAsia"/>
          <w:noProof/>
        </w:rPr>
        <w:t>Vector Institute</w:t>
      </w:r>
      <w:r w:rsidRPr="001D5783">
        <w:rPr>
          <w:rFonts w:hint="eastAsia"/>
          <w:noProof/>
        </w:rPr>
        <w:t>）和施瓦茨</w:t>
      </w:r>
      <w:r w:rsidRPr="001D5783">
        <w:rPr>
          <w:rFonts w:hint="eastAsia"/>
          <w:noProof/>
        </w:rPr>
        <w:t>-</w:t>
      </w:r>
      <w:r w:rsidRPr="001D5783">
        <w:rPr>
          <w:rFonts w:hint="eastAsia"/>
          <w:noProof/>
        </w:rPr>
        <w:t>雷斯曼技术与社会研究所（</w:t>
      </w:r>
      <w:r w:rsidRPr="001D5783">
        <w:rPr>
          <w:rFonts w:hint="eastAsia"/>
          <w:noProof/>
        </w:rPr>
        <w:t xml:space="preserve">Schwartz-Reisman Institute for Technology </w:t>
      </w:r>
      <w:r w:rsidRPr="001D5783">
        <w:rPr>
          <w:rFonts w:hint="eastAsia"/>
          <w:noProof/>
        </w:rPr>
        <w:lastRenderedPageBreak/>
        <w:t>and Society</w:t>
      </w:r>
      <w:r w:rsidRPr="001D5783">
        <w:rPr>
          <w:rFonts w:hint="eastAsia"/>
          <w:noProof/>
        </w:rPr>
        <w:t>）的教职员工，还是美国国家经济研究局（</w:t>
      </w:r>
      <w:r w:rsidRPr="001D5783">
        <w:rPr>
          <w:rFonts w:hint="eastAsia"/>
          <w:noProof/>
        </w:rPr>
        <w:t>National Bureau of Economic Research</w:t>
      </w:r>
      <w:r w:rsidRPr="001D5783">
        <w:rPr>
          <w:rFonts w:hint="eastAsia"/>
          <w:noProof/>
        </w:rPr>
        <w:t>）的助理研究员。</w:t>
      </w:r>
      <w:r w:rsidRPr="001D5783">
        <w:rPr>
          <w:rFonts w:hint="eastAsia"/>
          <w:noProof/>
        </w:rPr>
        <w:t>阿维</w:t>
      </w:r>
      <w:r w:rsidRPr="001D5783">
        <w:rPr>
          <w:rFonts w:hint="eastAsia"/>
          <w:noProof/>
        </w:rPr>
        <w:t>还是</w:t>
      </w:r>
      <w:r w:rsidRPr="001D5783">
        <w:rPr>
          <w:rFonts w:hint="eastAsia"/>
          <w:noProof/>
        </w:rPr>
        <w:t>Acceleratio</w:t>
      </w:r>
      <w:r>
        <w:rPr>
          <w:rFonts w:hint="eastAsia"/>
          <w:noProof/>
        </w:rPr>
        <w:t>n Consortium</w:t>
      </w:r>
      <w:r w:rsidRPr="001D5783">
        <w:rPr>
          <w:rFonts w:hint="eastAsia"/>
          <w:noProof/>
        </w:rPr>
        <w:t>的科学领导团队成员。阿维的研究重点是数字经济的机遇与挑战。</w:t>
      </w:r>
    </w:p>
    <w:p w:rsidR="001D5783" w:rsidRDefault="001D5783" w:rsidP="003971B4">
      <w:pPr>
        <w:ind w:firstLineChars="200" w:firstLine="420"/>
        <w:rPr>
          <w:noProof/>
        </w:rPr>
      </w:pPr>
    </w:p>
    <w:p w:rsidR="001D5783" w:rsidRDefault="0001152B" w:rsidP="003971B4">
      <w:pPr>
        <w:ind w:firstLineChars="200" w:firstLine="420"/>
        <w:rPr>
          <w:noProof/>
        </w:rPr>
      </w:pPr>
      <w:r>
        <w:rPr>
          <w:noProof/>
        </w:rPr>
        <w:drawing>
          <wp:anchor distT="0" distB="0" distL="114300" distR="114300" simplePos="0" relativeHeight="251687936" behindDoc="1" locked="0" layoutInCell="1" allowOverlap="1">
            <wp:simplePos x="0" y="0"/>
            <wp:positionH relativeFrom="margin">
              <wp:align>left</wp:align>
            </wp:positionH>
            <wp:positionV relativeFrom="paragraph">
              <wp:posOffset>14472</wp:posOffset>
            </wp:positionV>
            <wp:extent cx="766800" cy="766800"/>
            <wp:effectExtent l="0" t="0" r="0" b="0"/>
            <wp:wrapTight wrapText="bothSides">
              <wp:wrapPolygon edited="0">
                <wp:start x="0" y="0"/>
                <wp:lineTo x="0" y="20938"/>
                <wp:lineTo x="20938" y="20938"/>
                <wp:lineTo x="20938" y="0"/>
                <wp:lineTo x="0" y="0"/>
              </wp:wrapPolygon>
            </wp:wrapTight>
            <wp:docPr id="11" name="图片 11" descr="Catherine T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herine Tuck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6800" cy="766800"/>
                    </a:xfrm>
                    <a:prstGeom prst="rect">
                      <a:avLst/>
                    </a:prstGeom>
                    <a:noFill/>
                    <a:ln>
                      <a:noFill/>
                    </a:ln>
                  </pic:spPr>
                </pic:pic>
              </a:graphicData>
            </a:graphic>
          </wp:anchor>
        </w:drawing>
      </w:r>
      <w:r w:rsidR="001D5783" w:rsidRPr="001D5783">
        <w:rPr>
          <w:rFonts w:hint="eastAsia"/>
          <w:b/>
          <w:noProof/>
        </w:rPr>
        <w:t>凯瑟琳·塔克（</w:t>
      </w:r>
      <w:r w:rsidR="001D5783" w:rsidRPr="001D5783">
        <w:rPr>
          <w:rFonts w:hint="eastAsia"/>
          <w:b/>
          <w:noProof/>
        </w:rPr>
        <w:t>Catherine E. Tucker</w:t>
      </w:r>
      <w:r w:rsidR="001D5783" w:rsidRPr="001D5783">
        <w:rPr>
          <w:rFonts w:hint="eastAsia"/>
          <w:b/>
          <w:noProof/>
        </w:rPr>
        <w:t>）</w:t>
      </w:r>
      <w:r w:rsidR="001D5783" w:rsidRPr="001D5783">
        <w:rPr>
          <w:rFonts w:hint="eastAsia"/>
          <w:noProof/>
        </w:rPr>
        <w:t>是麻省理工学院斯隆管理科学斯隆特聘教授，同时也是美国国家经济研究局（</w:t>
      </w:r>
      <w:r w:rsidR="001D5783" w:rsidRPr="001D5783">
        <w:rPr>
          <w:rFonts w:hint="eastAsia"/>
          <w:noProof/>
        </w:rPr>
        <w:t>NBER</w:t>
      </w:r>
      <w:r w:rsidR="001D5783" w:rsidRPr="001D5783">
        <w:rPr>
          <w:rFonts w:hint="eastAsia"/>
          <w:noProof/>
        </w:rPr>
        <w:t>）的助理研究员。她是</w:t>
      </w:r>
      <w:r>
        <w:rPr>
          <w:rFonts w:hint="eastAsia"/>
          <w:noProof/>
        </w:rPr>
        <w:t>EMBA</w:t>
      </w:r>
      <w:r w:rsidR="001D5783" w:rsidRPr="001D5783">
        <w:rPr>
          <w:rFonts w:hint="eastAsia"/>
          <w:noProof/>
        </w:rPr>
        <w:t>项目的系主任。她还曾担任麻省理工学院斯隆商学院博士项目主席。她的研究兴趣在于技术如何让企业利用数字数据和机器学习提高业绩，以及这对监管带来的挑战。塔克尤其擅长网络广告、数字健康、社交媒体和电子隐私。她的研究涉及市场营销、技术经济学和法律之间的关系。</w:t>
      </w:r>
    </w:p>
    <w:p w:rsidR="0001152B" w:rsidRDefault="0001152B" w:rsidP="0001152B">
      <w:pPr>
        <w:rPr>
          <w:noProof/>
        </w:rPr>
      </w:pPr>
    </w:p>
    <w:p w:rsidR="0001152B" w:rsidRDefault="0001152B" w:rsidP="0001152B">
      <w:pPr>
        <w:rPr>
          <w:noProof/>
        </w:rPr>
      </w:pPr>
    </w:p>
    <w:p w:rsidR="0001152B" w:rsidRPr="0001152B" w:rsidRDefault="0001152B" w:rsidP="0001152B">
      <w:pPr>
        <w:jc w:val="center"/>
        <w:rPr>
          <w:b/>
          <w:bCs/>
          <w:color w:val="000000"/>
          <w:sz w:val="30"/>
          <w:szCs w:val="30"/>
        </w:rPr>
      </w:pPr>
      <w:r w:rsidRPr="0001152B">
        <w:rPr>
          <w:rFonts w:hint="eastAsia"/>
          <w:b/>
          <w:bCs/>
          <w:color w:val="000000"/>
          <w:sz w:val="30"/>
          <w:szCs w:val="30"/>
        </w:rPr>
        <w:t>《隐私经济学》</w:t>
      </w:r>
    </w:p>
    <w:p w:rsidR="0001152B" w:rsidRDefault="0001152B" w:rsidP="0001152B">
      <w:pPr>
        <w:jc w:val="center"/>
        <w:rPr>
          <w:b/>
          <w:bCs/>
          <w:color w:val="000000"/>
          <w:szCs w:val="21"/>
        </w:rPr>
      </w:pPr>
    </w:p>
    <w:p w:rsidR="0001152B" w:rsidRDefault="0001152B" w:rsidP="0001152B">
      <w:pPr>
        <w:jc w:val="center"/>
        <w:rPr>
          <w:rFonts w:hint="eastAsia"/>
          <w:noProof/>
        </w:rPr>
      </w:pPr>
      <w:bookmarkStart w:id="0" w:name="_GoBack"/>
      <w:bookmarkEnd w:id="0"/>
      <w:r>
        <w:rPr>
          <w:rFonts w:hint="eastAsia"/>
          <w:noProof/>
        </w:rPr>
        <w:t>致谢</w:t>
      </w:r>
    </w:p>
    <w:p w:rsidR="0001152B" w:rsidRDefault="0001152B" w:rsidP="0001152B">
      <w:pPr>
        <w:jc w:val="center"/>
        <w:rPr>
          <w:rFonts w:hint="eastAsia"/>
          <w:noProof/>
        </w:rPr>
      </w:pPr>
      <w:r>
        <w:rPr>
          <w:rFonts w:hint="eastAsia"/>
          <w:noProof/>
        </w:rPr>
        <w:t>引言</w:t>
      </w:r>
    </w:p>
    <w:p w:rsidR="0001152B" w:rsidRDefault="0001152B" w:rsidP="0001152B">
      <w:pPr>
        <w:jc w:val="center"/>
        <w:rPr>
          <w:rFonts w:hint="eastAsia"/>
          <w:noProof/>
        </w:rPr>
      </w:pPr>
      <w:r w:rsidRPr="0001152B">
        <w:rPr>
          <w:rFonts w:hint="eastAsia"/>
          <w:noProof/>
        </w:rPr>
        <w:t>阿维·戈德法布</w:t>
      </w:r>
      <w:r>
        <w:rPr>
          <w:rFonts w:hint="eastAsia"/>
          <w:noProof/>
        </w:rPr>
        <w:t>和凯瑟琳</w:t>
      </w:r>
      <w:r>
        <w:rPr>
          <w:rFonts w:hint="eastAsia"/>
          <w:noProof/>
        </w:rPr>
        <w:t>·</w:t>
      </w:r>
      <w:r>
        <w:rPr>
          <w:rFonts w:hint="eastAsia"/>
          <w:noProof/>
        </w:rPr>
        <w:t>塔克</w:t>
      </w:r>
    </w:p>
    <w:p w:rsidR="0001152B" w:rsidRDefault="0001152B" w:rsidP="0001152B">
      <w:pPr>
        <w:jc w:val="center"/>
        <w:rPr>
          <w:rFonts w:hint="eastAsia"/>
          <w:noProof/>
        </w:rPr>
      </w:pPr>
      <w:r>
        <w:rPr>
          <w:rFonts w:hint="eastAsia"/>
          <w:noProof/>
        </w:rPr>
        <w:t xml:space="preserve">1. </w:t>
      </w:r>
      <w:r>
        <w:rPr>
          <w:rFonts w:hint="eastAsia"/>
          <w:noProof/>
        </w:rPr>
        <w:t>隐私经济学：</w:t>
      </w:r>
      <w:r>
        <w:rPr>
          <w:rFonts w:hint="eastAsia"/>
          <w:noProof/>
        </w:rPr>
        <w:t>一览</w:t>
      </w:r>
    </w:p>
    <w:p w:rsidR="0001152B" w:rsidRDefault="0001152B" w:rsidP="0001152B">
      <w:pPr>
        <w:jc w:val="center"/>
        <w:rPr>
          <w:rFonts w:hint="eastAsia"/>
          <w:noProof/>
        </w:rPr>
      </w:pPr>
      <w:r>
        <w:rPr>
          <w:rFonts w:hint="eastAsia"/>
          <w:noProof/>
        </w:rPr>
        <w:t xml:space="preserve">2. </w:t>
      </w:r>
      <w:r>
        <w:rPr>
          <w:rFonts w:hint="eastAsia"/>
          <w:noProof/>
        </w:rPr>
        <w:t>处于十字路口的隐私经济学</w:t>
      </w:r>
    </w:p>
    <w:p w:rsidR="0001152B" w:rsidRDefault="0001152B" w:rsidP="0001152B">
      <w:pPr>
        <w:jc w:val="center"/>
        <w:rPr>
          <w:rFonts w:hint="eastAsia"/>
          <w:noProof/>
        </w:rPr>
      </w:pPr>
      <w:r>
        <w:rPr>
          <w:rFonts w:hint="eastAsia"/>
          <w:noProof/>
        </w:rPr>
        <w:t xml:space="preserve">3. </w:t>
      </w:r>
      <w:r>
        <w:rPr>
          <w:rFonts w:hint="eastAsia"/>
          <w:noProof/>
        </w:rPr>
        <w:t>数字隐私的平台维度</w:t>
      </w:r>
    </w:p>
    <w:p w:rsidR="0001152B" w:rsidRDefault="0001152B" w:rsidP="0001152B">
      <w:pPr>
        <w:jc w:val="center"/>
        <w:rPr>
          <w:rFonts w:hint="eastAsia"/>
          <w:noProof/>
        </w:rPr>
      </w:pPr>
      <w:r>
        <w:rPr>
          <w:rFonts w:hint="eastAsia"/>
          <w:noProof/>
        </w:rPr>
        <w:t xml:space="preserve">4. </w:t>
      </w:r>
      <w:r>
        <w:rPr>
          <w:rFonts w:hint="eastAsia"/>
          <w:noProof/>
        </w:rPr>
        <w:t>隐私法规的经济研究：</w:t>
      </w:r>
      <w:r>
        <w:rPr>
          <w:rFonts w:hint="eastAsia"/>
          <w:noProof/>
        </w:rPr>
        <w:t>GDPR</w:t>
      </w:r>
      <w:r>
        <w:rPr>
          <w:rFonts w:hint="eastAsia"/>
          <w:noProof/>
        </w:rPr>
        <w:t>及其他方面的经验教训</w:t>
      </w:r>
    </w:p>
    <w:p w:rsidR="0001152B" w:rsidRDefault="0001152B" w:rsidP="0001152B">
      <w:pPr>
        <w:jc w:val="center"/>
        <w:rPr>
          <w:rFonts w:hint="eastAsia"/>
          <w:noProof/>
        </w:rPr>
      </w:pPr>
      <w:r>
        <w:rPr>
          <w:rFonts w:hint="eastAsia"/>
          <w:noProof/>
        </w:rPr>
        <w:t xml:space="preserve">5. </w:t>
      </w:r>
      <w:r>
        <w:rPr>
          <w:rFonts w:hint="eastAsia"/>
          <w:noProof/>
        </w:rPr>
        <w:t>数字健康信息隐私</w:t>
      </w:r>
    </w:p>
    <w:p w:rsidR="0001152B" w:rsidRDefault="0001152B" w:rsidP="0001152B">
      <w:pPr>
        <w:jc w:val="center"/>
        <w:rPr>
          <w:rFonts w:hint="eastAsia"/>
          <w:noProof/>
        </w:rPr>
      </w:pPr>
      <w:r>
        <w:rPr>
          <w:rFonts w:hint="eastAsia"/>
          <w:noProof/>
        </w:rPr>
        <w:t>作者索引</w:t>
      </w:r>
    </w:p>
    <w:p w:rsidR="0001152B" w:rsidRDefault="0001152B" w:rsidP="0001152B">
      <w:pPr>
        <w:jc w:val="center"/>
        <w:rPr>
          <w:rFonts w:hint="eastAsia"/>
          <w:noProof/>
        </w:rPr>
      </w:pPr>
      <w:r>
        <w:rPr>
          <w:rFonts w:hint="eastAsia"/>
          <w:noProof/>
        </w:rPr>
        <w:t>主题索引</w:t>
      </w:r>
    </w:p>
    <w:p w:rsidR="00AB5964" w:rsidRDefault="00AB5964"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37" w:rsidRDefault="00CC3237">
      <w:r>
        <w:separator/>
      </w:r>
    </w:p>
  </w:endnote>
  <w:endnote w:type="continuationSeparator" w:id="0">
    <w:p w:rsidR="00CC3237" w:rsidRDefault="00CC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37" w:rsidRDefault="00CC3237">
      <w:r>
        <w:separator/>
      </w:r>
    </w:p>
  </w:footnote>
  <w:footnote w:type="continuationSeparator" w:id="0">
    <w:p w:rsidR="00CC3237" w:rsidRDefault="00CC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8"/>
  </w:num>
  <w:num w:numId="3">
    <w:abstractNumId w:val="15"/>
  </w:num>
  <w:num w:numId="4">
    <w:abstractNumId w:val="13"/>
  </w:num>
  <w:num w:numId="5">
    <w:abstractNumId w:val="17"/>
  </w:num>
  <w:num w:numId="6">
    <w:abstractNumId w:val="14"/>
  </w:num>
  <w:num w:numId="7">
    <w:abstractNumId w:val="9"/>
  </w:num>
  <w:num w:numId="8">
    <w:abstractNumId w:val="11"/>
  </w:num>
  <w:num w:numId="9">
    <w:abstractNumId w:val="23"/>
  </w:num>
  <w:num w:numId="10">
    <w:abstractNumId w:val="1"/>
  </w:num>
  <w:num w:numId="11">
    <w:abstractNumId w:val="0"/>
  </w:num>
  <w:num w:numId="12">
    <w:abstractNumId w:val="5"/>
  </w:num>
  <w:num w:numId="13">
    <w:abstractNumId w:val="18"/>
  </w:num>
  <w:num w:numId="14">
    <w:abstractNumId w:val="19"/>
  </w:num>
  <w:num w:numId="15">
    <w:abstractNumId w:val="7"/>
  </w:num>
  <w:num w:numId="16">
    <w:abstractNumId w:val="22"/>
  </w:num>
  <w:num w:numId="17">
    <w:abstractNumId w:val="6"/>
  </w:num>
  <w:num w:numId="18">
    <w:abstractNumId w:val="10"/>
  </w:num>
  <w:num w:numId="19">
    <w:abstractNumId w:val="3"/>
  </w:num>
  <w:num w:numId="20">
    <w:abstractNumId w:val="24"/>
  </w:num>
  <w:num w:numId="21">
    <w:abstractNumId w:val="20"/>
  </w:num>
  <w:num w:numId="22">
    <w:abstractNumId w:val="16"/>
  </w:num>
  <w:num w:numId="23">
    <w:abstractNumId w:val="2"/>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203F21"/>
    <w:rsid w:val="002068EA"/>
    <w:rsid w:val="0021330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0522"/>
    <w:rsid w:val="00824FC6"/>
    <w:rsid w:val="008265DF"/>
    <w:rsid w:val="00835EF9"/>
    <w:rsid w:val="008375D6"/>
    <w:rsid w:val="008520C3"/>
    <w:rsid w:val="00852DF8"/>
    <w:rsid w:val="00865331"/>
    <w:rsid w:val="00867535"/>
    <w:rsid w:val="008706FD"/>
    <w:rsid w:val="008833DC"/>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2C70"/>
    <w:rsid w:val="00A13476"/>
    <w:rsid w:val="00A14DF2"/>
    <w:rsid w:val="00A2587A"/>
    <w:rsid w:val="00A31124"/>
    <w:rsid w:val="00A41C41"/>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48D1"/>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323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D95F-4EB0-4BAE-9479-A017ACC5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338</Words>
  <Characters>1927</Characters>
  <Application>Microsoft Office Word</Application>
  <DocSecurity>0</DocSecurity>
  <Lines>16</Lines>
  <Paragraphs>4</Paragraphs>
  <ScaleCrop>false</ScaleCrop>
  <Company>2ndSpAcE</Company>
  <LinksUpToDate>false</LinksUpToDate>
  <CharactersWithSpaces>2261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2024-04-01T02:19:00Z</dcterms:created>
  <dcterms:modified xsi:type="dcterms:W3CDTF">2024-04-01T02:43:00Z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