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01904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8255</wp:posOffset>
            </wp:positionV>
            <wp:extent cx="1292225" cy="1935480"/>
            <wp:effectExtent l="0" t="0" r="0" b="0"/>
            <wp:wrapSquare wrapText="bothSides"/>
            <wp:docPr id="3" name="图片 1" descr="https://m.media-amazon.com/images/I/61kwizplKaL._SL11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kwizplKaL._SL112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E0ADA">
        <w:rPr>
          <w:b/>
          <w:bCs/>
          <w:color w:val="000000"/>
          <w:szCs w:val="21"/>
        </w:rPr>
        <w:t>《</w:t>
      </w:r>
      <w:bookmarkStart w:id="0" w:name="OLE_LINK1"/>
      <w:bookmarkStart w:id="1" w:name="OLE_LINK2"/>
      <w:r w:rsidR="00AE0ADA" w:rsidRPr="00AE0ADA">
        <w:rPr>
          <w:rFonts w:hint="eastAsia"/>
          <w:b/>
          <w:bCs/>
          <w:color w:val="000000"/>
          <w:szCs w:val="21"/>
        </w:rPr>
        <w:t>亚里士多德与悲剧的时间性</w:t>
      </w:r>
      <w:bookmarkEnd w:id="0"/>
      <w:bookmarkEnd w:id="1"/>
      <w:r w:rsidR="00AE0ADA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AE0AD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AE0ADA" w:rsidRPr="00AE0ADA">
        <w:rPr>
          <w:b/>
          <w:bCs/>
          <w:color w:val="000000"/>
          <w:szCs w:val="21"/>
        </w:rPr>
        <w:t>ARISTOTLE AND TRAGIC TEMPORALITY</w:t>
      </w:r>
      <w:r w:rsidR="00AE0ADA" w:rsidRPr="00AE0ADA">
        <w:t xml:space="preserve"> </w:t>
      </w:r>
    </w:p>
    <w:p w:rsidR="00051CD1" w:rsidRPr="003D391E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 w:rsidRPr="003D391E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Pr="003D391E">
        <w:rPr>
          <w:b/>
          <w:bCs/>
          <w:color w:val="000000"/>
          <w:szCs w:val="21"/>
        </w:rPr>
        <w:t>：</w:t>
      </w:r>
      <w:r w:rsidR="00AE0ADA" w:rsidRPr="003D391E">
        <w:rPr>
          <w:b/>
          <w:bCs/>
          <w:color w:val="000000"/>
          <w:szCs w:val="21"/>
        </w:rPr>
        <w:t>Sean D. Kirkland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AE0ADA" w:rsidRPr="00AE0ADA">
        <w:rPr>
          <w:b/>
          <w:bCs/>
          <w:color w:val="000000"/>
          <w:szCs w:val="21"/>
        </w:rPr>
        <w:t>Edinburgh University Press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AE0ADA">
        <w:rPr>
          <w:rFonts w:hint="eastAsia"/>
          <w:b/>
          <w:bCs/>
          <w:color w:val="000000"/>
          <w:szCs w:val="21"/>
        </w:rPr>
        <w:t>264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AE0ADA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AE0ADA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D01904">
        <w:rPr>
          <w:b/>
          <w:bCs/>
          <w:color w:val="000000"/>
          <w:szCs w:val="21"/>
        </w:rPr>
        <w:t>大众哲学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AE0ADA" w:rsidRDefault="00AE0AD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AE0ADA" w:rsidRDefault="00AE0ADA">
      <w:pPr>
        <w:rPr>
          <w:b/>
          <w:bCs/>
          <w:color w:val="000000"/>
          <w:szCs w:val="21"/>
        </w:rPr>
      </w:pPr>
    </w:p>
    <w:p w:rsidR="00AE0ADA" w:rsidRPr="00AE0ADA" w:rsidRDefault="00AE0ADA" w:rsidP="00AE0ADA">
      <w:pPr>
        <w:pStyle w:val="ac"/>
        <w:numPr>
          <w:ilvl w:val="0"/>
          <w:numId w:val="40"/>
        </w:numPr>
        <w:ind w:left="0" w:firstLineChars="0" w:firstLine="420"/>
        <w:rPr>
          <w:bCs/>
          <w:color w:val="000000"/>
          <w:szCs w:val="21"/>
        </w:rPr>
      </w:pPr>
      <w:r w:rsidRPr="00AE0ADA">
        <w:rPr>
          <w:rFonts w:hint="eastAsia"/>
          <w:bCs/>
          <w:color w:val="000000"/>
          <w:szCs w:val="21"/>
        </w:rPr>
        <w:t>对亚里士多德哲学方法的现象学解读</w:t>
      </w:r>
    </w:p>
    <w:p w:rsidR="00AE0ADA" w:rsidRPr="00AE0ADA" w:rsidRDefault="00AE0ADA" w:rsidP="00AE0ADA">
      <w:pPr>
        <w:pStyle w:val="ac"/>
        <w:numPr>
          <w:ilvl w:val="0"/>
          <w:numId w:val="40"/>
        </w:numPr>
        <w:ind w:left="0" w:firstLineChars="0" w:firstLine="420"/>
        <w:rPr>
          <w:bCs/>
          <w:color w:val="000000"/>
          <w:szCs w:val="21"/>
        </w:rPr>
      </w:pPr>
      <w:r w:rsidRPr="00AE0ADA">
        <w:rPr>
          <w:rFonts w:hint="eastAsia"/>
          <w:bCs/>
          <w:color w:val="000000"/>
          <w:szCs w:val="21"/>
        </w:rPr>
        <w:t>对亚里士多德悲剧理论的全新理解</w:t>
      </w:r>
    </w:p>
    <w:p w:rsidR="00AE0ADA" w:rsidRPr="00AE0ADA" w:rsidRDefault="00AE0ADA" w:rsidP="00AE0ADA">
      <w:pPr>
        <w:pStyle w:val="ac"/>
        <w:numPr>
          <w:ilvl w:val="0"/>
          <w:numId w:val="40"/>
        </w:numPr>
        <w:ind w:left="0" w:firstLineChars="0" w:firstLine="420"/>
        <w:rPr>
          <w:bCs/>
          <w:color w:val="000000"/>
          <w:szCs w:val="21"/>
        </w:rPr>
      </w:pPr>
      <w:r w:rsidRPr="00AE0ADA">
        <w:rPr>
          <w:rFonts w:hint="eastAsia"/>
          <w:bCs/>
          <w:color w:val="000000"/>
          <w:szCs w:val="21"/>
        </w:rPr>
        <w:t>将亚里士多德的伦理学与悲剧紧密联系起来</w:t>
      </w:r>
    </w:p>
    <w:p w:rsidR="00AE0ADA" w:rsidRPr="00AE0ADA" w:rsidRDefault="00AE0ADA" w:rsidP="00AE0ADA">
      <w:pPr>
        <w:pStyle w:val="ac"/>
        <w:numPr>
          <w:ilvl w:val="0"/>
          <w:numId w:val="40"/>
        </w:numPr>
        <w:ind w:left="0" w:firstLineChars="0" w:firstLine="420"/>
        <w:rPr>
          <w:bCs/>
          <w:color w:val="000000"/>
          <w:szCs w:val="21"/>
        </w:rPr>
      </w:pPr>
      <w:r w:rsidRPr="00AE0ADA">
        <w:rPr>
          <w:rFonts w:hint="eastAsia"/>
          <w:bCs/>
          <w:color w:val="000000"/>
          <w:szCs w:val="21"/>
        </w:rPr>
        <w:t>对时间哲学史进行了广泛研究，对比古今观点</w:t>
      </w:r>
    </w:p>
    <w:p w:rsidR="00AE0ADA" w:rsidRDefault="00AE0ADA">
      <w:pPr>
        <w:rPr>
          <w:b/>
          <w:bCs/>
          <w:color w:val="000000"/>
          <w:szCs w:val="21"/>
        </w:rPr>
      </w:pPr>
    </w:p>
    <w:p w:rsidR="00AE0ADA" w:rsidRPr="00626B30" w:rsidRDefault="00AE0AD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AE0ADA" w:rsidRPr="00AE0ADA" w:rsidRDefault="00AE0ADA" w:rsidP="00AE0ADA">
      <w:pPr>
        <w:ind w:firstLineChars="200" w:firstLine="420"/>
        <w:rPr>
          <w:rFonts w:hAnsi="宋体"/>
          <w:bCs/>
          <w:color w:val="000000"/>
          <w:szCs w:val="21"/>
        </w:rPr>
      </w:pPr>
      <w:r w:rsidRPr="00AE0ADA">
        <w:rPr>
          <w:rFonts w:hAnsi="宋体" w:hint="eastAsia"/>
          <w:bCs/>
          <w:color w:val="000000"/>
          <w:szCs w:val="21"/>
        </w:rPr>
        <w:t>本书探讨了一个令学者们着迷了数百年的主题：亚里士多德关于时间与人类经验的思想。但本书并非关注其《物理学》（</w:t>
      </w:r>
      <w:r w:rsidRPr="00D01904">
        <w:rPr>
          <w:rFonts w:hAnsi="宋体" w:hint="eastAsia"/>
          <w:bCs/>
          <w:i/>
          <w:color w:val="000000"/>
          <w:szCs w:val="21"/>
        </w:rPr>
        <w:t>Physics</w:t>
      </w:r>
      <w:r w:rsidRPr="00AE0ADA">
        <w:rPr>
          <w:rFonts w:hAnsi="宋体" w:hint="eastAsia"/>
          <w:bCs/>
          <w:color w:val="000000"/>
          <w:szCs w:val="21"/>
        </w:rPr>
        <w:t>）中涉及的自然哲学，而将目光聚焦于他的《诗学》（</w:t>
      </w:r>
      <w:r w:rsidRPr="00D01904">
        <w:rPr>
          <w:rFonts w:hAnsi="宋体" w:hint="eastAsia"/>
          <w:bCs/>
          <w:i/>
          <w:color w:val="000000"/>
          <w:szCs w:val="21"/>
        </w:rPr>
        <w:t>Poetics</w:t>
      </w:r>
      <w:r w:rsidRPr="00AE0ADA">
        <w:rPr>
          <w:rFonts w:hAnsi="宋体" w:hint="eastAsia"/>
          <w:bCs/>
          <w:color w:val="000000"/>
          <w:szCs w:val="21"/>
        </w:rPr>
        <w:t>）和《伦理学》（</w:t>
      </w:r>
      <w:r w:rsidRPr="00D01904">
        <w:rPr>
          <w:rFonts w:hAnsi="宋体" w:hint="eastAsia"/>
          <w:bCs/>
          <w:i/>
          <w:color w:val="000000"/>
          <w:szCs w:val="21"/>
        </w:rPr>
        <w:t>Ethics</w:t>
      </w:r>
      <w:r w:rsidRPr="00AE0ADA">
        <w:rPr>
          <w:rFonts w:hAnsi="宋体" w:hint="eastAsia"/>
          <w:bCs/>
          <w:color w:val="000000"/>
          <w:szCs w:val="21"/>
        </w:rPr>
        <w:t>），采用了独特的研究方法。肖恩·</w:t>
      </w:r>
      <w:r w:rsidRPr="00AE0ADA">
        <w:rPr>
          <w:rFonts w:hAnsi="宋体" w:hint="eastAsia"/>
          <w:bCs/>
          <w:color w:val="000000"/>
          <w:szCs w:val="21"/>
        </w:rPr>
        <w:t>D</w:t>
      </w:r>
      <w:r w:rsidRPr="00AE0ADA">
        <w:rPr>
          <w:rFonts w:hAnsi="宋体" w:hint="eastAsia"/>
          <w:bCs/>
          <w:color w:val="000000"/>
          <w:szCs w:val="21"/>
        </w:rPr>
        <w:t>·柯克兰深入分析了亚里士多德的观点，即人类始终处于无法完全掌控的过去与无法预测的未来之间。这种困境在悲剧表演中尤为明显。在这一背景下，亚里士多德的德性伦理学呈现出了新的意义——它展示了人类如何接受这一无可避免的现实，同时依然能找到追求幸福与成功的方法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0B4A5F" w:rsidRPr="000B4A5F" w:rsidRDefault="00D01904" w:rsidP="00FD7316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23900" cy="949960"/>
            <wp:effectExtent l="0" t="0" r="0" b="0"/>
            <wp:wrapSquare wrapText="bothSides"/>
            <wp:docPr id="4" name="图片 4" descr="THE MIDWEST SEMINAR IN ANCIENT AND MEDIEVAL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MIDWEST SEMINAR IN ANCIENT AND MEDIEVAL PHILOSOPH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A5F" w:rsidRPr="000B4A5F">
        <w:rPr>
          <w:rFonts w:hint="eastAsia"/>
          <w:b/>
          <w:color w:val="000000"/>
          <w:szCs w:val="21"/>
        </w:rPr>
        <w:t>肖恩·</w:t>
      </w:r>
      <w:r w:rsidR="00003F1D">
        <w:rPr>
          <w:rFonts w:hint="eastAsia"/>
          <w:b/>
          <w:color w:val="000000"/>
          <w:szCs w:val="21"/>
        </w:rPr>
        <w:t>D</w:t>
      </w:r>
      <w:r w:rsidR="00003F1D">
        <w:rPr>
          <w:rFonts w:hint="eastAsia"/>
          <w:b/>
          <w:color w:val="000000"/>
          <w:szCs w:val="21"/>
        </w:rPr>
        <w:t>·</w:t>
      </w:r>
      <w:r w:rsidR="000B4A5F" w:rsidRPr="000B4A5F">
        <w:rPr>
          <w:rFonts w:hint="eastAsia"/>
          <w:b/>
          <w:color w:val="000000"/>
          <w:szCs w:val="21"/>
        </w:rPr>
        <w:t>柯克兰</w:t>
      </w:r>
      <w:r w:rsidR="000B4A5F">
        <w:rPr>
          <w:rFonts w:hint="eastAsia"/>
          <w:b/>
          <w:color w:val="000000"/>
          <w:szCs w:val="21"/>
        </w:rPr>
        <w:t>（</w:t>
      </w:r>
      <w:r w:rsidR="000B4A5F" w:rsidRPr="000B4A5F">
        <w:rPr>
          <w:rFonts w:hint="eastAsia"/>
          <w:b/>
          <w:color w:val="000000"/>
          <w:szCs w:val="21"/>
        </w:rPr>
        <w:t>Sean D. Kirkland</w:t>
      </w:r>
      <w:r w:rsidR="000B4A5F">
        <w:rPr>
          <w:rFonts w:hint="eastAsia"/>
          <w:b/>
          <w:color w:val="000000"/>
          <w:szCs w:val="21"/>
        </w:rPr>
        <w:t>）</w:t>
      </w:r>
      <w:r w:rsidR="000B4A5F">
        <w:rPr>
          <w:rFonts w:hint="eastAsia"/>
          <w:color w:val="000000"/>
          <w:szCs w:val="21"/>
        </w:rPr>
        <w:t>现任</w:t>
      </w:r>
      <w:r w:rsidR="000B4A5F" w:rsidRPr="000B4A5F">
        <w:rPr>
          <w:rFonts w:hint="eastAsia"/>
          <w:color w:val="000000"/>
          <w:szCs w:val="21"/>
        </w:rPr>
        <w:t>德保</w:t>
      </w:r>
      <w:proofErr w:type="gramStart"/>
      <w:r w:rsidR="000B4A5F" w:rsidRPr="000B4A5F">
        <w:rPr>
          <w:rFonts w:hint="eastAsia"/>
          <w:color w:val="000000"/>
          <w:szCs w:val="21"/>
        </w:rPr>
        <w:t>罗大学</w:t>
      </w:r>
      <w:proofErr w:type="gramEnd"/>
      <w:r w:rsidR="000B4A5F">
        <w:rPr>
          <w:rFonts w:hint="eastAsia"/>
          <w:color w:val="000000"/>
          <w:szCs w:val="21"/>
        </w:rPr>
        <w:t>的哲学教授、</w:t>
      </w:r>
      <w:r w:rsidR="000B4A5F" w:rsidRPr="000B4A5F">
        <w:rPr>
          <w:rFonts w:hint="eastAsia"/>
          <w:color w:val="000000"/>
          <w:szCs w:val="21"/>
        </w:rPr>
        <w:t>德保罗大学自然与文化研究所</w:t>
      </w:r>
      <w:r w:rsidR="00FD7316">
        <w:rPr>
          <w:rFonts w:hint="eastAsia"/>
          <w:color w:val="000000"/>
          <w:szCs w:val="21"/>
        </w:rPr>
        <w:t>联合主任。他的研究方向为</w:t>
      </w:r>
      <w:r w:rsidR="000B4A5F" w:rsidRPr="000B4A5F">
        <w:rPr>
          <w:rFonts w:hint="eastAsia"/>
          <w:color w:val="000000"/>
          <w:szCs w:val="21"/>
        </w:rPr>
        <w:t>古希腊哲学，以及</w:t>
      </w:r>
      <w:r w:rsidR="000B4A5F" w:rsidRPr="000B4A5F">
        <w:rPr>
          <w:rFonts w:hint="eastAsia"/>
          <w:color w:val="000000"/>
          <w:szCs w:val="21"/>
        </w:rPr>
        <w:t>19</w:t>
      </w:r>
      <w:r w:rsidR="000B4A5F" w:rsidRPr="000B4A5F">
        <w:rPr>
          <w:rFonts w:hint="eastAsia"/>
          <w:color w:val="000000"/>
          <w:szCs w:val="21"/>
        </w:rPr>
        <w:t>世纪和</w:t>
      </w:r>
      <w:r w:rsidR="000B4A5F" w:rsidRPr="000B4A5F">
        <w:rPr>
          <w:rFonts w:hint="eastAsia"/>
          <w:color w:val="000000"/>
          <w:szCs w:val="21"/>
        </w:rPr>
        <w:t>20</w:t>
      </w:r>
      <w:r w:rsidR="00FD7316">
        <w:rPr>
          <w:rFonts w:hint="eastAsia"/>
          <w:color w:val="000000"/>
          <w:szCs w:val="21"/>
        </w:rPr>
        <w:t>世纪的大陆哲学。</w:t>
      </w:r>
      <w:r w:rsidR="000B4A5F" w:rsidRPr="000B4A5F">
        <w:rPr>
          <w:rFonts w:hint="eastAsia"/>
          <w:color w:val="000000"/>
          <w:szCs w:val="21"/>
        </w:rPr>
        <w:t>著作包括《海德格尔与对亚里士多德的解构》</w:t>
      </w:r>
      <w:r w:rsidR="00FD7316">
        <w:rPr>
          <w:rFonts w:hint="eastAsia"/>
          <w:color w:val="000000"/>
          <w:szCs w:val="21"/>
        </w:rPr>
        <w:t>（</w:t>
      </w:r>
      <w:r w:rsidR="000B4A5F" w:rsidRPr="00FD7316">
        <w:rPr>
          <w:rFonts w:hint="eastAsia"/>
          <w:i/>
          <w:color w:val="000000"/>
          <w:szCs w:val="21"/>
        </w:rPr>
        <w:t>Heidegger an</w:t>
      </w:r>
      <w:r w:rsidR="00FD7316" w:rsidRPr="00FD7316">
        <w:rPr>
          <w:rFonts w:hint="eastAsia"/>
          <w:i/>
          <w:color w:val="000000"/>
          <w:szCs w:val="21"/>
        </w:rPr>
        <w:t>d the Destruction of Aristotle</w:t>
      </w:r>
      <w:r w:rsidR="00FD7316" w:rsidRPr="00FD7316">
        <w:rPr>
          <w:rFonts w:hint="eastAsia"/>
          <w:color w:val="000000"/>
          <w:szCs w:val="21"/>
        </w:rPr>
        <w:t>，</w:t>
      </w:r>
      <w:r w:rsidR="00FD7316" w:rsidRPr="00FD7316">
        <w:rPr>
          <w:color w:val="000000"/>
          <w:szCs w:val="21"/>
        </w:rPr>
        <w:t>Northwestern</w:t>
      </w:r>
      <w:r w:rsidR="00FD7316">
        <w:rPr>
          <w:color w:val="000000"/>
          <w:szCs w:val="21"/>
        </w:rPr>
        <w:t>出版社</w:t>
      </w:r>
      <w:r w:rsidR="00FD7316">
        <w:rPr>
          <w:rFonts w:hint="eastAsia"/>
          <w:color w:val="000000"/>
          <w:szCs w:val="21"/>
        </w:rPr>
        <w:t>，</w:t>
      </w:r>
      <w:r w:rsidR="00FD7316">
        <w:rPr>
          <w:rFonts w:hint="eastAsia"/>
          <w:color w:val="000000"/>
          <w:szCs w:val="21"/>
        </w:rPr>
        <w:t>2023</w:t>
      </w:r>
      <w:r w:rsidR="00FD7316">
        <w:rPr>
          <w:rFonts w:hint="eastAsia"/>
          <w:color w:val="000000"/>
          <w:szCs w:val="21"/>
        </w:rPr>
        <w:t>）</w:t>
      </w:r>
      <w:r w:rsidR="000B4A5F" w:rsidRPr="000B4A5F">
        <w:rPr>
          <w:rFonts w:hint="eastAsia"/>
          <w:color w:val="000000"/>
          <w:szCs w:val="21"/>
        </w:rPr>
        <w:t>和《苏格拉底式提问的本体论》</w:t>
      </w:r>
      <w:r w:rsidR="00FD7316">
        <w:rPr>
          <w:rFonts w:hint="eastAsia"/>
          <w:color w:val="000000"/>
          <w:szCs w:val="21"/>
        </w:rPr>
        <w:t>（</w:t>
      </w:r>
      <w:r w:rsidR="000B4A5F" w:rsidRPr="00FD7316">
        <w:rPr>
          <w:rFonts w:hint="eastAsia"/>
          <w:i/>
          <w:color w:val="000000"/>
          <w:szCs w:val="21"/>
        </w:rPr>
        <w:t>The Ontology of Socratic Questioning</w:t>
      </w:r>
      <w:r w:rsidR="00FD7316">
        <w:rPr>
          <w:rFonts w:hint="eastAsia"/>
          <w:color w:val="000000"/>
          <w:szCs w:val="21"/>
        </w:rPr>
        <w:t>，</w:t>
      </w:r>
      <w:r w:rsidR="00FD7316" w:rsidRPr="00FD7316">
        <w:rPr>
          <w:color w:val="000000"/>
          <w:szCs w:val="21"/>
        </w:rPr>
        <w:t>SUNY</w:t>
      </w:r>
      <w:r w:rsidR="000B4A5F" w:rsidRPr="000B4A5F">
        <w:rPr>
          <w:rFonts w:hint="eastAsia"/>
          <w:color w:val="000000"/>
          <w:szCs w:val="21"/>
        </w:rPr>
        <w:t>出版社</w:t>
      </w:r>
      <w:r w:rsidR="00FD7316">
        <w:rPr>
          <w:rFonts w:hint="eastAsia"/>
          <w:color w:val="000000"/>
          <w:szCs w:val="21"/>
        </w:rPr>
        <w:t>，</w:t>
      </w:r>
      <w:r w:rsidR="00FD7316">
        <w:rPr>
          <w:rFonts w:hint="eastAsia"/>
          <w:color w:val="000000"/>
          <w:szCs w:val="21"/>
        </w:rPr>
        <w:t>2012</w:t>
      </w:r>
      <w:r w:rsidR="00FD7316">
        <w:rPr>
          <w:rFonts w:hint="eastAsia"/>
          <w:color w:val="000000"/>
          <w:szCs w:val="21"/>
        </w:rPr>
        <w:t>）。</w:t>
      </w:r>
      <w:r w:rsidR="00FD7316">
        <w:rPr>
          <w:rFonts w:hint="eastAsia"/>
          <w:color w:val="000000"/>
          <w:szCs w:val="21"/>
        </w:rPr>
        <w:lastRenderedPageBreak/>
        <w:t>他还</w:t>
      </w:r>
      <w:r w:rsidR="000B4A5F" w:rsidRPr="000B4A5F">
        <w:rPr>
          <w:rFonts w:hint="eastAsia"/>
          <w:color w:val="000000"/>
          <w:szCs w:val="21"/>
        </w:rPr>
        <w:t>是《古代哲学指南》</w:t>
      </w:r>
      <w:r w:rsidR="00FD7316">
        <w:rPr>
          <w:rFonts w:hint="eastAsia"/>
          <w:color w:val="000000"/>
          <w:szCs w:val="21"/>
        </w:rPr>
        <w:t>（</w:t>
      </w:r>
      <w:r w:rsidR="000B4A5F" w:rsidRPr="00FD7316">
        <w:rPr>
          <w:rFonts w:hint="eastAsia"/>
          <w:i/>
          <w:color w:val="000000"/>
          <w:szCs w:val="21"/>
        </w:rPr>
        <w:t xml:space="preserve">A </w:t>
      </w:r>
      <w:r w:rsidR="00FD7316" w:rsidRPr="00FD7316">
        <w:rPr>
          <w:rFonts w:hint="eastAsia"/>
          <w:i/>
          <w:color w:val="000000"/>
          <w:szCs w:val="21"/>
        </w:rPr>
        <w:t>Companion to Ancient Philosophy</w:t>
      </w:r>
      <w:r w:rsidR="00FD7316">
        <w:rPr>
          <w:rFonts w:hint="eastAsia"/>
          <w:color w:val="000000"/>
          <w:szCs w:val="21"/>
        </w:rPr>
        <w:t>，</w:t>
      </w:r>
      <w:r w:rsidR="00FD7316" w:rsidRPr="00FD7316">
        <w:rPr>
          <w:rFonts w:hint="eastAsia"/>
          <w:color w:val="000000"/>
          <w:szCs w:val="21"/>
        </w:rPr>
        <w:t>Northwestern</w:t>
      </w:r>
      <w:r w:rsidR="00FD7316" w:rsidRPr="00FD7316">
        <w:rPr>
          <w:rFonts w:hint="eastAsia"/>
          <w:color w:val="000000"/>
          <w:szCs w:val="21"/>
        </w:rPr>
        <w:t>出版社</w:t>
      </w:r>
      <w:r w:rsidR="00FD7316">
        <w:rPr>
          <w:rFonts w:hint="eastAsia"/>
          <w:color w:val="000000"/>
          <w:szCs w:val="21"/>
        </w:rPr>
        <w:t>，</w:t>
      </w:r>
      <w:r w:rsidR="00FD7316">
        <w:rPr>
          <w:rFonts w:hint="eastAsia"/>
          <w:color w:val="000000"/>
          <w:szCs w:val="21"/>
        </w:rPr>
        <w:t>2018</w:t>
      </w:r>
      <w:r w:rsidR="00FD7316">
        <w:rPr>
          <w:rFonts w:hint="eastAsia"/>
          <w:color w:val="000000"/>
          <w:szCs w:val="21"/>
        </w:rPr>
        <w:t>）</w:t>
      </w:r>
      <w:r w:rsidR="000B4A5F" w:rsidRPr="000B4A5F">
        <w:rPr>
          <w:rFonts w:hint="eastAsia"/>
          <w:color w:val="000000"/>
          <w:szCs w:val="21"/>
        </w:rPr>
        <w:t>和《安提戈涅的回归》</w:t>
      </w:r>
      <w:r w:rsidR="00FD7316">
        <w:rPr>
          <w:rFonts w:hint="eastAsia"/>
          <w:color w:val="000000"/>
          <w:szCs w:val="21"/>
        </w:rPr>
        <w:t>（</w:t>
      </w:r>
      <w:r w:rsidR="000B4A5F" w:rsidRPr="00FD7316">
        <w:rPr>
          <w:rFonts w:hint="eastAsia"/>
          <w:i/>
          <w:color w:val="000000"/>
          <w:szCs w:val="21"/>
        </w:rPr>
        <w:t>The Returns of Antigone</w:t>
      </w:r>
      <w:r w:rsidR="00FD7316">
        <w:rPr>
          <w:rFonts w:hint="eastAsia"/>
          <w:color w:val="000000"/>
          <w:szCs w:val="21"/>
        </w:rPr>
        <w:t>，</w:t>
      </w:r>
      <w:r w:rsidR="00FD7316" w:rsidRPr="00FD7316">
        <w:rPr>
          <w:color w:val="000000"/>
          <w:szCs w:val="21"/>
        </w:rPr>
        <w:t>SUNY</w:t>
      </w:r>
      <w:r w:rsidR="000B4A5F" w:rsidRPr="000B4A5F">
        <w:rPr>
          <w:rFonts w:hint="eastAsia"/>
          <w:color w:val="000000"/>
          <w:szCs w:val="21"/>
        </w:rPr>
        <w:t>出版社</w:t>
      </w:r>
      <w:r w:rsidR="00FD7316">
        <w:rPr>
          <w:rFonts w:hint="eastAsia"/>
          <w:color w:val="000000"/>
          <w:szCs w:val="21"/>
        </w:rPr>
        <w:t>，</w:t>
      </w:r>
      <w:r w:rsidR="00FD7316">
        <w:rPr>
          <w:rFonts w:hint="eastAsia"/>
          <w:color w:val="000000"/>
          <w:szCs w:val="21"/>
        </w:rPr>
        <w:t>2014</w:t>
      </w:r>
      <w:r w:rsidR="00FD7316">
        <w:rPr>
          <w:rFonts w:hint="eastAsia"/>
          <w:color w:val="000000"/>
          <w:szCs w:val="21"/>
        </w:rPr>
        <w:t>）的联合主编</w:t>
      </w:r>
      <w:r w:rsidR="000B4A5F" w:rsidRPr="000B4A5F">
        <w:rPr>
          <w:rFonts w:hint="eastAsia"/>
          <w:color w:val="000000"/>
          <w:szCs w:val="21"/>
        </w:rPr>
        <w:t>。</w:t>
      </w:r>
    </w:p>
    <w:p w:rsidR="000B4A5F" w:rsidRPr="000B4A5F" w:rsidRDefault="000B4A5F" w:rsidP="000B4A5F">
      <w:pPr>
        <w:rPr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FD7316" w:rsidRPr="00FD7316" w:rsidRDefault="00D01904" w:rsidP="00AE54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AE54DC" w:rsidRPr="00FD7316">
        <w:rPr>
          <w:rFonts w:hint="eastAsia"/>
          <w:color w:val="000000"/>
          <w:szCs w:val="21"/>
        </w:rPr>
        <w:t>在《亚里士多德与悲剧时间性》一书中，肖恩·</w:t>
      </w:r>
      <w:r w:rsidR="00AE54DC">
        <w:rPr>
          <w:rFonts w:hint="eastAsia"/>
          <w:color w:val="000000"/>
          <w:szCs w:val="21"/>
        </w:rPr>
        <w:t>D</w:t>
      </w:r>
      <w:r w:rsidR="00003F1D">
        <w:rPr>
          <w:rFonts w:hint="eastAsia"/>
          <w:color w:val="000000"/>
          <w:szCs w:val="21"/>
        </w:rPr>
        <w:t>·</w:t>
      </w:r>
      <w:r w:rsidR="00AE54DC">
        <w:rPr>
          <w:rFonts w:hint="eastAsia"/>
          <w:color w:val="000000"/>
          <w:szCs w:val="21"/>
        </w:rPr>
        <w:t>柯克兰通过在亚里士多德的</w:t>
      </w:r>
      <w:r w:rsidR="00AE54DC" w:rsidRPr="00FD7316">
        <w:rPr>
          <w:rFonts w:hint="eastAsia"/>
          <w:color w:val="000000"/>
          <w:szCs w:val="21"/>
        </w:rPr>
        <w:t>《诗学》</w:t>
      </w:r>
      <w:r w:rsidR="00AE54DC">
        <w:rPr>
          <w:rFonts w:hint="eastAsia"/>
          <w:color w:val="000000"/>
          <w:szCs w:val="21"/>
        </w:rPr>
        <w:t>（</w:t>
      </w:r>
      <w:r w:rsidR="00AE54DC" w:rsidRPr="009137C3">
        <w:rPr>
          <w:i/>
          <w:color w:val="000000"/>
          <w:szCs w:val="21"/>
        </w:rPr>
        <w:t>Poetics</w:t>
      </w:r>
      <w:r w:rsidR="00AE54DC">
        <w:rPr>
          <w:rFonts w:hint="eastAsia"/>
          <w:color w:val="000000"/>
          <w:szCs w:val="21"/>
        </w:rPr>
        <w:t>）</w:t>
      </w:r>
      <w:r w:rsidR="00AE54DC" w:rsidRPr="00FD7316">
        <w:rPr>
          <w:rFonts w:hint="eastAsia"/>
          <w:color w:val="000000"/>
          <w:szCs w:val="21"/>
        </w:rPr>
        <w:t>和《物理学》</w:t>
      </w:r>
      <w:r w:rsidR="00AE54DC">
        <w:rPr>
          <w:rFonts w:hint="eastAsia"/>
          <w:color w:val="000000"/>
          <w:szCs w:val="21"/>
        </w:rPr>
        <w:t>（</w:t>
      </w:r>
      <w:r w:rsidR="00AE54DC" w:rsidRPr="009137C3">
        <w:rPr>
          <w:i/>
          <w:color w:val="000000"/>
          <w:szCs w:val="21"/>
        </w:rPr>
        <w:t>Physic</w:t>
      </w:r>
      <w:bookmarkStart w:id="2" w:name="_GoBack"/>
      <w:bookmarkEnd w:id="2"/>
      <w:r w:rsidR="00AE54DC" w:rsidRPr="009137C3">
        <w:rPr>
          <w:i/>
          <w:color w:val="000000"/>
          <w:szCs w:val="21"/>
        </w:rPr>
        <w:t>s</w:t>
      </w:r>
      <w:r w:rsidR="00AE54DC">
        <w:rPr>
          <w:rFonts w:hint="eastAsia"/>
          <w:color w:val="000000"/>
          <w:szCs w:val="21"/>
        </w:rPr>
        <w:t>）上出人意料却卓有成效的探索，对</w:t>
      </w:r>
      <w:r w:rsidR="00AE54DC" w:rsidRPr="00FD7316">
        <w:rPr>
          <w:rFonts w:hint="eastAsia"/>
          <w:color w:val="000000"/>
          <w:szCs w:val="21"/>
        </w:rPr>
        <w:t>亚里士多德的伦理学进行了新颖的阐释。本书针对那些过于轻易地将在场形而上学</w:t>
      </w:r>
      <w:r w:rsidR="00AE54DC">
        <w:rPr>
          <w:rFonts w:hint="eastAsia"/>
          <w:color w:val="000000"/>
          <w:szCs w:val="21"/>
        </w:rPr>
        <w:t>与现代主客体划分归咎于</w:t>
      </w:r>
      <w:r w:rsidR="00AE54DC" w:rsidRPr="00FD7316">
        <w:rPr>
          <w:rFonts w:hint="eastAsia"/>
          <w:color w:val="000000"/>
          <w:szCs w:val="21"/>
        </w:rPr>
        <w:t>亚里士多德的解读</w:t>
      </w:r>
      <w:r w:rsidR="00AE54DC">
        <w:rPr>
          <w:rFonts w:hint="eastAsia"/>
          <w:color w:val="000000"/>
          <w:szCs w:val="21"/>
        </w:rPr>
        <w:t>，颠覆了亚里士多德哲学中现行的</w:t>
      </w:r>
      <w:r w:rsidR="00AE54DC" w:rsidRPr="00FD7316">
        <w:rPr>
          <w:rFonts w:hint="eastAsia"/>
          <w:color w:val="000000"/>
          <w:szCs w:val="21"/>
        </w:rPr>
        <w:t>一些定论性观点——诸如辩</w:t>
      </w:r>
      <w:r w:rsidR="00AE54DC">
        <w:rPr>
          <w:rFonts w:hint="eastAsia"/>
          <w:color w:val="000000"/>
          <w:szCs w:val="21"/>
        </w:rPr>
        <w:t>证法的地位下降、时间的</w:t>
      </w:r>
      <w:r w:rsidR="00AE54DC" w:rsidRPr="00FD7316">
        <w:rPr>
          <w:rFonts w:hint="eastAsia"/>
          <w:color w:val="000000"/>
          <w:szCs w:val="21"/>
        </w:rPr>
        <w:t>客观</w:t>
      </w:r>
      <w:r w:rsidR="00AE54DC">
        <w:rPr>
          <w:rFonts w:hint="eastAsia"/>
          <w:color w:val="000000"/>
          <w:szCs w:val="21"/>
        </w:rPr>
        <w:t>性或</w:t>
      </w:r>
      <w:r w:rsidR="00AE54DC" w:rsidRPr="00FD7316">
        <w:rPr>
          <w:rFonts w:hint="eastAsia"/>
          <w:color w:val="000000"/>
          <w:szCs w:val="21"/>
        </w:rPr>
        <w:t>主观</w:t>
      </w:r>
      <w:r w:rsidR="00AE54DC">
        <w:rPr>
          <w:rFonts w:hint="eastAsia"/>
          <w:color w:val="000000"/>
          <w:szCs w:val="21"/>
        </w:rPr>
        <w:t>性、认识论原则与形而上学原则的</w:t>
      </w:r>
      <w:r w:rsidR="00AE54DC" w:rsidRPr="00FD7316">
        <w:rPr>
          <w:rFonts w:hint="eastAsia"/>
          <w:color w:val="000000"/>
          <w:szCs w:val="21"/>
        </w:rPr>
        <w:t>割裂——</w:t>
      </w:r>
      <w:r w:rsidR="00AE54DC">
        <w:rPr>
          <w:rFonts w:hint="eastAsia"/>
          <w:color w:val="000000"/>
          <w:szCs w:val="21"/>
        </w:rPr>
        <w:t>进</w:t>
      </w:r>
      <w:r w:rsidR="00FD7316" w:rsidRPr="00FD7316">
        <w:rPr>
          <w:rFonts w:hint="eastAsia"/>
          <w:color w:val="000000"/>
          <w:szCs w:val="21"/>
        </w:rPr>
        <w:t>肯定了</w:t>
      </w:r>
      <w:r w:rsidR="00AE54DC">
        <w:rPr>
          <w:rFonts w:hint="eastAsia"/>
          <w:color w:val="000000"/>
          <w:szCs w:val="21"/>
        </w:rPr>
        <w:t>在我们最初</w:t>
      </w:r>
      <w:r w:rsidR="00FD7316" w:rsidRPr="00FD7316">
        <w:rPr>
          <w:rFonts w:hint="eastAsia"/>
          <w:color w:val="000000"/>
          <w:szCs w:val="21"/>
        </w:rPr>
        <w:t>接触和理解世界</w:t>
      </w:r>
      <w:r w:rsidR="00AE54DC">
        <w:rPr>
          <w:rFonts w:hint="eastAsia"/>
          <w:color w:val="000000"/>
          <w:szCs w:val="21"/>
        </w:rPr>
        <w:t>时，表象</w:t>
      </w:r>
      <w:r w:rsidR="00FD7316" w:rsidRPr="00FD7316">
        <w:rPr>
          <w:rFonts w:hint="eastAsia"/>
          <w:color w:val="000000"/>
          <w:szCs w:val="21"/>
        </w:rPr>
        <w:t>所具有的根本重要性。这既是一本供亚里士多德研究</w:t>
      </w:r>
      <w:r w:rsidR="00AE54DC">
        <w:rPr>
          <w:rFonts w:hint="eastAsia"/>
          <w:color w:val="000000"/>
          <w:szCs w:val="21"/>
        </w:rPr>
        <w:t>者阅读的书，也是一本面向关心该如何在不确定的未来中生活和行动的人的书</w:t>
      </w:r>
      <w:r w:rsidR="00FD7316" w:rsidRPr="00FD731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:rsidR="00FD7316" w:rsidRPr="000B4A5F" w:rsidRDefault="00FD7316" w:rsidP="00AE54DC">
      <w:pPr>
        <w:jc w:val="right"/>
        <w:rPr>
          <w:color w:val="000000"/>
          <w:szCs w:val="21"/>
        </w:rPr>
      </w:pPr>
      <w:r w:rsidRPr="00FD7316">
        <w:rPr>
          <w:rFonts w:hint="eastAsia"/>
          <w:color w:val="000000"/>
          <w:szCs w:val="21"/>
        </w:rPr>
        <w:t>——</w:t>
      </w:r>
      <w:r w:rsidRPr="00AE54DC">
        <w:rPr>
          <w:rFonts w:ascii="宋体" w:hAnsi="宋体" w:hint="eastAsia"/>
          <w:color w:val="000000"/>
          <w:szCs w:val="21"/>
        </w:rPr>
        <w:t>阿德瑞尔•</w:t>
      </w:r>
      <w:r w:rsidRPr="00AE54DC">
        <w:rPr>
          <w:color w:val="000000"/>
          <w:szCs w:val="21"/>
        </w:rPr>
        <w:t>M</w:t>
      </w:r>
      <w:r w:rsidR="00003F1D">
        <w:rPr>
          <w:rFonts w:ascii="宋体" w:hAnsi="宋体" w:hint="eastAsia"/>
          <w:color w:val="000000"/>
          <w:szCs w:val="21"/>
        </w:rPr>
        <w:t>·</w:t>
      </w:r>
      <w:r w:rsidRPr="00AE54DC">
        <w:rPr>
          <w:rFonts w:ascii="宋体" w:hAnsi="宋体" w:hint="eastAsia"/>
          <w:color w:val="000000"/>
          <w:szCs w:val="21"/>
        </w:rPr>
        <w:t>特洛特</w:t>
      </w:r>
      <w:r w:rsidR="00AE54DC">
        <w:rPr>
          <w:rFonts w:ascii="宋体" w:hAnsi="宋体" w:hint="eastAsia"/>
          <w:color w:val="000000"/>
          <w:szCs w:val="21"/>
        </w:rPr>
        <w:t>（</w:t>
      </w:r>
      <w:r w:rsidR="00AE54DC">
        <w:rPr>
          <w:rFonts w:hint="eastAsia"/>
          <w:color w:val="000000"/>
          <w:szCs w:val="21"/>
        </w:rPr>
        <w:t xml:space="preserve">Adriel M. </w:t>
      </w:r>
      <w:proofErr w:type="spellStart"/>
      <w:r w:rsidR="00AE54DC">
        <w:rPr>
          <w:rFonts w:hint="eastAsia"/>
          <w:color w:val="000000"/>
          <w:szCs w:val="21"/>
        </w:rPr>
        <w:t>Trott</w:t>
      </w:r>
      <w:proofErr w:type="spellEnd"/>
      <w:r w:rsidR="00AE54DC">
        <w:rPr>
          <w:rFonts w:hint="eastAsia"/>
          <w:color w:val="000000"/>
          <w:szCs w:val="21"/>
        </w:rPr>
        <w:t>）</w:t>
      </w:r>
      <w:r w:rsidRPr="00FD7316">
        <w:rPr>
          <w:rFonts w:hint="eastAsia"/>
          <w:color w:val="000000"/>
          <w:szCs w:val="21"/>
        </w:rPr>
        <w:t>，</w:t>
      </w:r>
      <w:r w:rsidR="00AE54DC">
        <w:rPr>
          <w:rFonts w:hint="eastAsia"/>
          <w:color w:val="000000"/>
          <w:szCs w:val="21"/>
        </w:rPr>
        <w:t>美国</w:t>
      </w:r>
      <w:r w:rsidRPr="00FD7316">
        <w:rPr>
          <w:rFonts w:hint="eastAsia"/>
          <w:color w:val="000000"/>
          <w:szCs w:val="21"/>
        </w:rPr>
        <w:t>瓦伯西学院</w:t>
      </w:r>
      <w:r w:rsidR="00AE54DC">
        <w:rPr>
          <w:rFonts w:hint="eastAsia"/>
          <w:color w:val="000000"/>
          <w:szCs w:val="21"/>
        </w:rPr>
        <w:t>（</w:t>
      </w:r>
      <w:r w:rsidR="00AE54DC">
        <w:rPr>
          <w:rFonts w:hint="eastAsia"/>
          <w:color w:val="000000"/>
          <w:szCs w:val="21"/>
        </w:rPr>
        <w:t>Wabash College</w:t>
      </w:r>
      <w:r w:rsidR="00AE54DC">
        <w:rPr>
          <w:rFonts w:hint="eastAsia"/>
          <w:color w:val="000000"/>
          <w:szCs w:val="21"/>
        </w:rPr>
        <w:t>）</w:t>
      </w:r>
    </w:p>
    <w:p w:rsidR="000B4A5F" w:rsidRDefault="000B4A5F" w:rsidP="00FA01DD">
      <w:pPr>
        <w:rPr>
          <w:b/>
          <w:color w:val="000000"/>
          <w:szCs w:val="21"/>
        </w:rPr>
      </w:pPr>
    </w:p>
    <w:p w:rsidR="000B4A5F" w:rsidRDefault="000B4A5F" w:rsidP="00FA01DD">
      <w:pPr>
        <w:rPr>
          <w:b/>
          <w:color w:val="000000"/>
          <w:szCs w:val="21"/>
        </w:rPr>
      </w:pPr>
    </w:p>
    <w:p w:rsidR="00914BF9" w:rsidRPr="00914BF9" w:rsidRDefault="00AE54DC" w:rsidP="00914BF9">
      <w:pPr>
        <w:jc w:val="center"/>
        <w:rPr>
          <w:bCs/>
          <w:color w:val="000000"/>
          <w:szCs w:val="21"/>
        </w:rPr>
      </w:pPr>
      <w:r w:rsidRPr="00AE54DC">
        <w:rPr>
          <w:rFonts w:hint="eastAsia"/>
          <w:b/>
          <w:bCs/>
          <w:color w:val="000000"/>
          <w:sz w:val="30"/>
          <w:szCs w:val="30"/>
        </w:rPr>
        <w:t>《亚里士多德与悲剧时间性》</w:t>
      </w:r>
    </w:p>
    <w:p w:rsidR="00AE54DC" w:rsidRDefault="00AE54DC" w:rsidP="00FD7316">
      <w:pPr>
        <w:jc w:val="center"/>
        <w:rPr>
          <w:bCs/>
          <w:color w:val="000000"/>
          <w:szCs w:val="21"/>
        </w:rPr>
      </w:pPr>
    </w:p>
    <w:p w:rsidR="00FD7316" w:rsidRPr="00FD7316" w:rsidRDefault="00AE54DC" w:rsidP="00FD731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FD7316" w:rsidRPr="00FD7316" w:rsidRDefault="00AE54DC" w:rsidP="00FD731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缩写表</w:t>
      </w:r>
    </w:p>
    <w:p w:rsidR="00FD7316" w:rsidRPr="00C63A29" w:rsidRDefault="00C63A29" w:rsidP="00C63A2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亚里士多德引语表</w:t>
      </w:r>
    </w:p>
    <w:p w:rsidR="00FD7316" w:rsidRPr="00FD7316" w:rsidRDefault="00C63A29" w:rsidP="00FD731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引言：</w:t>
      </w:r>
      <w:r w:rsidRPr="00C63A29">
        <w:rPr>
          <w:rFonts w:hint="eastAsia"/>
          <w:bCs/>
          <w:color w:val="000000"/>
          <w:szCs w:val="21"/>
        </w:rPr>
        <w:t>一种古老的非在场形而上学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</w:p>
    <w:p w:rsidR="00FD7316" w:rsidRPr="00FD7316" w:rsidRDefault="00C63A29" w:rsidP="00FD7316">
      <w:pPr>
        <w:jc w:val="center"/>
        <w:rPr>
          <w:bCs/>
          <w:color w:val="000000"/>
          <w:szCs w:val="21"/>
        </w:rPr>
      </w:pPr>
      <w:r w:rsidRPr="00C63A29">
        <w:rPr>
          <w:b/>
          <w:bCs/>
          <w:color w:val="000000"/>
          <w:szCs w:val="21"/>
        </w:rPr>
        <w:t>第一章：时间与时间性的</w:t>
      </w:r>
      <w:r w:rsidRPr="00C63A29">
        <w:rPr>
          <w:rFonts w:hint="eastAsia"/>
          <w:b/>
          <w:bCs/>
          <w:color w:val="000000"/>
          <w:szCs w:val="21"/>
        </w:rPr>
        <w:t>现代与后现代哲学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1.</w:t>
      </w:r>
      <w:r w:rsidR="00C63A29">
        <w:rPr>
          <w:rFonts w:hint="eastAsia"/>
          <w:bCs/>
          <w:color w:val="000000"/>
          <w:szCs w:val="21"/>
        </w:rPr>
        <w:t xml:space="preserve"> </w:t>
      </w:r>
      <w:r w:rsidR="00C63A29" w:rsidRPr="00C63A29">
        <w:rPr>
          <w:rFonts w:hint="eastAsia"/>
          <w:bCs/>
          <w:color w:val="000000"/>
          <w:szCs w:val="21"/>
        </w:rPr>
        <w:t>现代时间作为客观或主观存在：笛卡尔、牛顿、康德、胡塞尔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 xml:space="preserve">2. </w:t>
      </w:r>
      <w:r w:rsidR="00B54766" w:rsidRPr="00B54766">
        <w:rPr>
          <w:rFonts w:hint="eastAsia"/>
          <w:bCs/>
          <w:color w:val="000000"/>
          <w:szCs w:val="21"/>
        </w:rPr>
        <w:t>强加于亚里士多德文本之上的现代时间观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3.</w:t>
      </w:r>
      <w:r w:rsidR="00B54766">
        <w:rPr>
          <w:rFonts w:hint="eastAsia"/>
          <w:bCs/>
          <w:color w:val="000000"/>
          <w:szCs w:val="21"/>
        </w:rPr>
        <w:t xml:space="preserve"> </w:t>
      </w:r>
      <w:r w:rsidR="00B54766">
        <w:rPr>
          <w:bCs/>
          <w:color w:val="000000"/>
          <w:szCs w:val="21"/>
        </w:rPr>
        <w:t>后现代时间性：胡塞尔、柏格森、海德格尔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</w:p>
    <w:p w:rsidR="00FD7316" w:rsidRPr="00FD7316" w:rsidRDefault="00B54766" w:rsidP="00FD7316">
      <w:pPr>
        <w:jc w:val="center"/>
        <w:rPr>
          <w:bCs/>
          <w:color w:val="000000"/>
          <w:szCs w:val="21"/>
        </w:rPr>
      </w:pPr>
      <w:r w:rsidRPr="00B54766">
        <w:rPr>
          <w:rFonts w:hint="eastAsia"/>
          <w:b/>
          <w:bCs/>
          <w:color w:val="000000"/>
          <w:szCs w:val="21"/>
        </w:rPr>
        <w:t>第二章：作为原现象学方法</w:t>
      </w:r>
      <w:r>
        <w:rPr>
          <w:rFonts w:hint="eastAsia"/>
          <w:b/>
          <w:bCs/>
          <w:color w:val="000000"/>
          <w:szCs w:val="21"/>
        </w:rPr>
        <w:t>的</w:t>
      </w:r>
      <w:r w:rsidRPr="00B54766">
        <w:rPr>
          <w:rFonts w:hint="eastAsia"/>
          <w:b/>
          <w:bCs/>
          <w:color w:val="000000"/>
          <w:szCs w:val="21"/>
        </w:rPr>
        <w:t>亚里士多德的辩证法</w:t>
      </w:r>
    </w:p>
    <w:p w:rsidR="00FD7316" w:rsidRPr="00FD7316" w:rsidRDefault="00B54766" w:rsidP="00FD731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B54766">
        <w:rPr>
          <w:rFonts w:hint="eastAsia"/>
          <w:bCs/>
          <w:color w:val="000000"/>
          <w:szCs w:val="21"/>
        </w:rPr>
        <w:t>《论题篇》</w:t>
      </w:r>
      <w:r>
        <w:rPr>
          <w:rFonts w:hint="eastAsia"/>
          <w:bCs/>
          <w:color w:val="000000"/>
          <w:szCs w:val="21"/>
        </w:rPr>
        <w:t>（</w:t>
      </w:r>
      <w:r w:rsidRPr="00B54766">
        <w:rPr>
          <w:bCs/>
          <w:i/>
          <w:color w:val="000000"/>
          <w:szCs w:val="21"/>
        </w:rPr>
        <w:t>Topics</w:t>
      </w:r>
      <w:r>
        <w:rPr>
          <w:rFonts w:hint="eastAsia"/>
          <w:bCs/>
          <w:color w:val="000000"/>
          <w:szCs w:val="21"/>
        </w:rPr>
        <w:t>）</w:t>
      </w:r>
      <w:r w:rsidRPr="00B54766">
        <w:rPr>
          <w:rFonts w:hint="eastAsia"/>
          <w:bCs/>
          <w:color w:val="000000"/>
          <w:szCs w:val="21"/>
        </w:rPr>
        <w:t>中的“</w:t>
      </w:r>
      <w:r>
        <w:rPr>
          <w:rFonts w:hint="eastAsia"/>
          <w:bCs/>
          <w:color w:val="000000"/>
          <w:szCs w:val="21"/>
        </w:rPr>
        <w:t>有声望的意见”、现象性及辩证路径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2.</w:t>
      </w:r>
      <w:r w:rsidR="00B54766">
        <w:rPr>
          <w:rFonts w:hint="eastAsia"/>
          <w:bCs/>
          <w:color w:val="000000"/>
          <w:szCs w:val="21"/>
        </w:rPr>
        <w:t xml:space="preserve"> </w:t>
      </w:r>
      <w:r w:rsidR="00B54766" w:rsidRPr="00B54766">
        <w:rPr>
          <w:rFonts w:hint="eastAsia"/>
          <w:bCs/>
          <w:color w:val="000000"/>
          <w:szCs w:val="21"/>
        </w:rPr>
        <w:t>亚里士多德对“辩证法”的批评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3.</w:t>
      </w:r>
      <w:r w:rsidR="00B54766">
        <w:rPr>
          <w:rFonts w:hint="eastAsia"/>
          <w:bCs/>
          <w:color w:val="000000"/>
          <w:szCs w:val="21"/>
        </w:rPr>
        <w:t xml:space="preserve"> </w:t>
      </w:r>
      <w:r w:rsidR="00B54766">
        <w:rPr>
          <w:bCs/>
          <w:color w:val="000000"/>
          <w:szCs w:val="21"/>
        </w:rPr>
        <w:t>《物理学》（</w:t>
      </w:r>
      <w:r w:rsidR="00B54766" w:rsidRPr="00B54766">
        <w:rPr>
          <w:bCs/>
          <w:i/>
          <w:color w:val="000000"/>
          <w:szCs w:val="21"/>
        </w:rPr>
        <w:t>Physics</w:t>
      </w:r>
      <w:r w:rsidR="00B54766">
        <w:rPr>
          <w:bCs/>
          <w:color w:val="000000"/>
          <w:szCs w:val="21"/>
        </w:rPr>
        <w:t>）中的辩证法与自然进路径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 xml:space="preserve">4. </w:t>
      </w:r>
      <w:r w:rsidR="00B54766" w:rsidRPr="00B54766">
        <w:rPr>
          <w:rFonts w:hint="eastAsia"/>
          <w:bCs/>
          <w:color w:val="000000"/>
          <w:szCs w:val="21"/>
        </w:rPr>
        <w:t>作为辩证法起点的现象与话语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</w:p>
    <w:p w:rsidR="00FD7316" w:rsidRPr="00FD7316" w:rsidRDefault="00B54766" w:rsidP="00FD7316">
      <w:pPr>
        <w:jc w:val="center"/>
        <w:rPr>
          <w:bCs/>
          <w:color w:val="000000"/>
          <w:szCs w:val="21"/>
        </w:rPr>
      </w:pPr>
      <w:r w:rsidRPr="00B54766">
        <w:rPr>
          <w:rFonts w:hint="eastAsia"/>
          <w:b/>
          <w:bCs/>
          <w:color w:val="000000"/>
          <w:szCs w:val="21"/>
        </w:rPr>
        <w:t>第三章：在《诗学》</w:t>
      </w:r>
      <w:r>
        <w:rPr>
          <w:rFonts w:hint="eastAsia"/>
          <w:b/>
          <w:bCs/>
          <w:color w:val="000000"/>
          <w:szCs w:val="21"/>
        </w:rPr>
        <w:t>（</w:t>
      </w:r>
      <w:r w:rsidRPr="00116D51">
        <w:rPr>
          <w:b/>
          <w:bCs/>
          <w:i/>
          <w:color w:val="000000"/>
          <w:szCs w:val="21"/>
        </w:rPr>
        <w:t>Poetics</w:t>
      </w:r>
      <w:r>
        <w:rPr>
          <w:rFonts w:hint="eastAsia"/>
          <w:b/>
          <w:bCs/>
          <w:color w:val="000000"/>
          <w:szCs w:val="21"/>
        </w:rPr>
        <w:t>）</w:t>
      </w:r>
      <w:r w:rsidRPr="00B54766">
        <w:rPr>
          <w:rFonts w:hint="eastAsia"/>
          <w:b/>
          <w:bCs/>
          <w:color w:val="000000"/>
          <w:szCs w:val="21"/>
        </w:rPr>
        <w:t>中展现悲剧时间性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1.</w:t>
      </w:r>
      <w:r w:rsidR="00B54766">
        <w:rPr>
          <w:rFonts w:hint="eastAsia"/>
          <w:bCs/>
          <w:color w:val="000000"/>
          <w:szCs w:val="21"/>
        </w:rPr>
        <w:t xml:space="preserve"> </w:t>
      </w:r>
      <w:r w:rsidR="00B54766">
        <w:rPr>
          <w:rFonts w:hint="eastAsia"/>
          <w:bCs/>
          <w:color w:val="000000"/>
          <w:szCs w:val="21"/>
        </w:rPr>
        <w:t>在创世时刻看见最终目的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2.</w:t>
      </w:r>
      <w:r w:rsidR="00B54766">
        <w:rPr>
          <w:rFonts w:hint="eastAsia"/>
          <w:bCs/>
          <w:color w:val="000000"/>
          <w:szCs w:val="21"/>
        </w:rPr>
        <w:t xml:space="preserve"> </w:t>
      </w:r>
      <w:r w:rsidR="00B54766">
        <w:rPr>
          <w:bCs/>
          <w:color w:val="000000"/>
          <w:szCs w:val="21"/>
        </w:rPr>
        <w:t>悲剧的诞生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 xml:space="preserve">3. </w:t>
      </w:r>
      <w:r w:rsidR="00116D51">
        <w:rPr>
          <w:rFonts w:hint="eastAsia"/>
          <w:bCs/>
          <w:color w:val="000000"/>
          <w:szCs w:val="21"/>
        </w:rPr>
        <w:t>悲剧性凝思，介于认知主义与非认知主义路径之间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4.</w:t>
      </w:r>
      <w:r w:rsidR="00116D51">
        <w:rPr>
          <w:rFonts w:hint="eastAsia"/>
          <w:bCs/>
          <w:color w:val="000000"/>
          <w:szCs w:val="21"/>
        </w:rPr>
        <w:t xml:space="preserve"> </w:t>
      </w:r>
      <w:r w:rsidR="00116D51" w:rsidRPr="00116D51">
        <w:rPr>
          <w:rFonts w:hint="eastAsia"/>
          <w:bCs/>
          <w:color w:val="000000"/>
          <w:szCs w:val="21"/>
        </w:rPr>
        <w:t>摹仿、学习与人性</w:t>
      </w:r>
    </w:p>
    <w:p w:rsidR="00FD7316" w:rsidRPr="00FD7316" w:rsidRDefault="00FD7316" w:rsidP="00116D51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 xml:space="preserve">5. </w:t>
      </w:r>
      <w:r w:rsidR="00116D51">
        <w:rPr>
          <w:rFonts w:hint="eastAsia"/>
          <w:bCs/>
          <w:color w:val="000000"/>
          <w:szCs w:val="21"/>
        </w:rPr>
        <w:t>作为完整、整体且具一定规模的实践</w:t>
      </w:r>
      <w:r w:rsidR="00116D51" w:rsidRPr="00116D51">
        <w:rPr>
          <w:rFonts w:hint="eastAsia"/>
          <w:bCs/>
          <w:color w:val="000000"/>
          <w:szCs w:val="21"/>
        </w:rPr>
        <w:t>之摹仿</w:t>
      </w:r>
    </w:p>
    <w:p w:rsidR="00FD7316" w:rsidRDefault="00116D51" w:rsidP="00FD7316">
      <w:pPr>
        <w:jc w:val="center"/>
        <w:rPr>
          <w:bCs/>
          <w:color w:val="000000"/>
          <w:szCs w:val="21"/>
        </w:rPr>
      </w:pPr>
      <w:r w:rsidRPr="00116D51">
        <w:rPr>
          <w:rFonts w:hint="eastAsia"/>
          <w:bCs/>
          <w:color w:val="000000"/>
          <w:szCs w:val="21"/>
        </w:rPr>
        <w:t>结论</w:t>
      </w:r>
    </w:p>
    <w:p w:rsidR="00116D51" w:rsidRPr="00116D51" w:rsidRDefault="00116D51" w:rsidP="00FD7316">
      <w:pPr>
        <w:jc w:val="center"/>
        <w:rPr>
          <w:bCs/>
          <w:color w:val="000000"/>
          <w:szCs w:val="21"/>
        </w:rPr>
      </w:pPr>
    </w:p>
    <w:p w:rsidR="00FD7316" w:rsidRPr="00116D51" w:rsidRDefault="00116D51" w:rsidP="00FD7316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第四章：</w:t>
      </w:r>
      <w:r w:rsidRPr="00116D51">
        <w:rPr>
          <w:rFonts w:hint="eastAsia"/>
          <w:b/>
          <w:bCs/>
          <w:color w:val="000000"/>
          <w:szCs w:val="21"/>
        </w:rPr>
        <w:t>《伦理学》</w:t>
      </w:r>
      <w:r>
        <w:rPr>
          <w:rFonts w:hint="eastAsia"/>
          <w:b/>
          <w:bCs/>
          <w:color w:val="000000"/>
          <w:szCs w:val="21"/>
        </w:rPr>
        <w:t>（</w:t>
      </w:r>
      <w:r w:rsidRPr="00116D51">
        <w:rPr>
          <w:b/>
          <w:bCs/>
          <w:i/>
          <w:color w:val="000000"/>
          <w:szCs w:val="21"/>
        </w:rPr>
        <w:t>Ethics</w:t>
      </w:r>
      <w:r>
        <w:rPr>
          <w:rFonts w:hint="eastAsia"/>
          <w:b/>
          <w:bCs/>
          <w:color w:val="000000"/>
          <w:szCs w:val="21"/>
        </w:rPr>
        <w:t>）中</w:t>
      </w:r>
      <w:r w:rsidRPr="00116D51">
        <w:rPr>
          <w:rFonts w:hint="eastAsia"/>
          <w:b/>
          <w:bCs/>
          <w:color w:val="000000"/>
          <w:szCs w:val="21"/>
        </w:rPr>
        <w:t>悲剧时间性</w:t>
      </w:r>
      <w:r>
        <w:rPr>
          <w:rFonts w:hint="eastAsia"/>
          <w:b/>
          <w:bCs/>
          <w:color w:val="000000"/>
          <w:szCs w:val="21"/>
        </w:rPr>
        <w:t>下的生存困境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1.</w:t>
      </w:r>
      <w:r w:rsidR="00116D51">
        <w:rPr>
          <w:rFonts w:hint="eastAsia"/>
          <w:bCs/>
          <w:color w:val="000000"/>
          <w:szCs w:val="21"/>
        </w:rPr>
        <w:t xml:space="preserve"> </w:t>
      </w:r>
      <w:r w:rsidR="00116D51" w:rsidRPr="00116D51">
        <w:rPr>
          <w:rFonts w:hint="eastAsia"/>
          <w:bCs/>
          <w:color w:val="000000"/>
          <w:szCs w:val="21"/>
        </w:rPr>
        <w:t>康德</w:t>
      </w:r>
      <w:r w:rsidR="00116D51">
        <w:rPr>
          <w:rFonts w:hint="eastAsia"/>
          <w:bCs/>
          <w:color w:val="000000"/>
          <w:szCs w:val="21"/>
        </w:rPr>
        <w:t>（</w:t>
      </w:r>
      <w:r w:rsidR="00116D51">
        <w:rPr>
          <w:rFonts w:hint="eastAsia"/>
          <w:bCs/>
          <w:color w:val="000000"/>
          <w:szCs w:val="21"/>
        </w:rPr>
        <w:t>Kant</w:t>
      </w:r>
      <w:r w:rsidR="00116D51">
        <w:rPr>
          <w:rFonts w:hint="eastAsia"/>
          <w:bCs/>
          <w:color w:val="000000"/>
          <w:szCs w:val="21"/>
        </w:rPr>
        <w:t>）</w:t>
      </w:r>
      <w:r w:rsidR="00116D51" w:rsidRPr="00116D51">
        <w:rPr>
          <w:rFonts w:hint="eastAsia"/>
          <w:bCs/>
          <w:color w:val="000000"/>
          <w:szCs w:val="21"/>
        </w:rPr>
        <w:t>道德观的理性基础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2.</w:t>
      </w:r>
      <w:r w:rsidR="00116D51">
        <w:rPr>
          <w:rFonts w:hint="eastAsia"/>
          <w:bCs/>
          <w:color w:val="000000"/>
          <w:szCs w:val="21"/>
        </w:rPr>
        <w:t xml:space="preserve"> </w:t>
      </w:r>
      <w:r w:rsidR="00116D51" w:rsidRPr="00116D51">
        <w:rPr>
          <w:rFonts w:hint="eastAsia"/>
          <w:bCs/>
          <w:color w:val="000000"/>
          <w:szCs w:val="21"/>
        </w:rPr>
        <w:t>皮埃尔·阿多</w:t>
      </w:r>
      <w:r w:rsidR="00116D51">
        <w:rPr>
          <w:rFonts w:hint="eastAsia"/>
          <w:bCs/>
          <w:color w:val="000000"/>
          <w:szCs w:val="21"/>
        </w:rPr>
        <w:t>（</w:t>
      </w:r>
      <w:r w:rsidR="00116D51" w:rsidRPr="00FD7316">
        <w:rPr>
          <w:bCs/>
          <w:color w:val="000000"/>
          <w:szCs w:val="21"/>
        </w:rPr>
        <w:t xml:space="preserve">Pierre </w:t>
      </w:r>
      <w:proofErr w:type="spellStart"/>
      <w:r w:rsidR="00116D51" w:rsidRPr="00FD7316">
        <w:rPr>
          <w:bCs/>
          <w:color w:val="000000"/>
          <w:szCs w:val="21"/>
        </w:rPr>
        <w:t>Hadot</w:t>
      </w:r>
      <w:proofErr w:type="spellEnd"/>
      <w:r w:rsidR="00116D51">
        <w:rPr>
          <w:rFonts w:hint="eastAsia"/>
          <w:bCs/>
          <w:color w:val="000000"/>
          <w:szCs w:val="21"/>
        </w:rPr>
        <w:t>）</w:t>
      </w:r>
      <w:r w:rsidR="00116D51" w:rsidRPr="00116D51">
        <w:rPr>
          <w:rFonts w:hint="eastAsia"/>
          <w:bCs/>
          <w:color w:val="000000"/>
          <w:szCs w:val="21"/>
        </w:rPr>
        <w:t>与作为一种生活方式的古代哲学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3.</w:t>
      </w:r>
      <w:r w:rsidR="00116D51">
        <w:rPr>
          <w:rFonts w:hint="eastAsia"/>
          <w:bCs/>
          <w:color w:val="000000"/>
          <w:szCs w:val="21"/>
        </w:rPr>
        <w:t xml:space="preserve"> </w:t>
      </w:r>
      <w:r w:rsidR="00116D51">
        <w:rPr>
          <w:bCs/>
          <w:color w:val="000000"/>
          <w:szCs w:val="21"/>
        </w:rPr>
        <w:t>生活于过往与未来之善之间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4.</w:t>
      </w:r>
      <w:r w:rsidR="000A7918">
        <w:rPr>
          <w:rFonts w:hint="eastAsia"/>
          <w:bCs/>
          <w:color w:val="000000"/>
          <w:szCs w:val="21"/>
        </w:rPr>
        <w:t xml:space="preserve"> </w:t>
      </w:r>
      <w:r w:rsidR="000A7918" w:rsidRPr="000A7918">
        <w:rPr>
          <w:rFonts w:hint="eastAsia"/>
          <w:bCs/>
          <w:color w:val="000000"/>
          <w:szCs w:val="21"/>
        </w:rPr>
        <w:t>论柏拉图</w:t>
      </w:r>
      <w:r w:rsidR="000A7918">
        <w:rPr>
          <w:rFonts w:hint="eastAsia"/>
          <w:bCs/>
          <w:color w:val="000000"/>
          <w:szCs w:val="21"/>
        </w:rPr>
        <w:t>《</w:t>
      </w:r>
      <w:r w:rsidR="000A7918" w:rsidRPr="000A7918">
        <w:rPr>
          <w:rFonts w:hint="eastAsia"/>
          <w:bCs/>
          <w:color w:val="000000"/>
          <w:szCs w:val="21"/>
        </w:rPr>
        <w:t>对话录</w:t>
      </w:r>
      <w:r w:rsidR="000A7918">
        <w:rPr>
          <w:rFonts w:hint="eastAsia"/>
          <w:bCs/>
          <w:color w:val="000000"/>
          <w:szCs w:val="21"/>
        </w:rPr>
        <w:t>》（</w:t>
      </w:r>
      <w:r w:rsidR="000A7918" w:rsidRPr="000A7918">
        <w:rPr>
          <w:bCs/>
          <w:i/>
          <w:color w:val="000000"/>
          <w:szCs w:val="21"/>
        </w:rPr>
        <w:t>Dialogues</w:t>
      </w:r>
      <w:r w:rsidR="000A7918">
        <w:rPr>
          <w:rFonts w:hint="eastAsia"/>
          <w:bCs/>
          <w:color w:val="000000"/>
          <w:szCs w:val="21"/>
        </w:rPr>
        <w:t>）</w:t>
      </w:r>
      <w:r w:rsidR="000A7918" w:rsidRPr="000A7918">
        <w:rPr>
          <w:rFonts w:hint="eastAsia"/>
          <w:bCs/>
          <w:color w:val="000000"/>
          <w:szCs w:val="21"/>
        </w:rPr>
        <w:t>中的伦理学理智主义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5.</w:t>
      </w:r>
      <w:r w:rsidR="000A7918">
        <w:rPr>
          <w:rFonts w:hint="eastAsia"/>
          <w:bCs/>
          <w:color w:val="000000"/>
          <w:szCs w:val="21"/>
        </w:rPr>
        <w:t xml:space="preserve"> </w:t>
      </w:r>
      <w:r w:rsidR="000A7918">
        <w:rPr>
          <w:bCs/>
          <w:color w:val="000000"/>
          <w:szCs w:val="21"/>
        </w:rPr>
        <w:t>实践智慧的时间性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  <w:r w:rsidRPr="00FD7316">
        <w:rPr>
          <w:bCs/>
          <w:color w:val="000000"/>
          <w:szCs w:val="21"/>
        </w:rPr>
        <w:t>6.</w:t>
      </w:r>
      <w:r w:rsidR="000A7918">
        <w:rPr>
          <w:rFonts w:hint="eastAsia"/>
          <w:bCs/>
          <w:color w:val="000000"/>
          <w:szCs w:val="21"/>
        </w:rPr>
        <w:t xml:space="preserve"> </w:t>
      </w:r>
      <w:r w:rsidR="000A7918">
        <w:rPr>
          <w:rFonts w:hint="eastAsia"/>
          <w:bCs/>
          <w:color w:val="000000"/>
          <w:szCs w:val="21"/>
        </w:rPr>
        <w:t>作为伦理判断</w:t>
      </w:r>
      <w:r w:rsidR="000A7918" w:rsidRPr="000A7918">
        <w:rPr>
          <w:rFonts w:hint="eastAsia"/>
          <w:bCs/>
          <w:color w:val="000000"/>
          <w:szCs w:val="21"/>
        </w:rPr>
        <w:t>来源</w:t>
      </w:r>
      <w:r w:rsidR="000A7918">
        <w:rPr>
          <w:rFonts w:hint="eastAsia"/>
          <w:bCs/>
          <w:color w:val="000000"/>
          <w:szCs w:val="21"/>
        </w:rPr>
        <w:t>的</w:t>
      </w:r>
      <w:r w:rsidR="000A7918" w:rsidRPr="000A7918">
        <w:rPr>
          <w:rFonts w:hint="eastAsia"/>
          <w:bCs/>
          <w:color w:val="000000"/>
          <w:szCs w:val="21"/>
        </w:rPr>
        <w:t>过往与未来</w:t>
      </w:r>
    </w:p>
    <w:p w:rsidR="00FD7316" w:rsidRPr="00FD7316" w:rsidRDefault="00FD7316" w:rsidP="00FD7316">
      <w:pPr>
        <w:jc w:val="center"/>
        <w:rPr>
          <w:bCs/>
          <w:color w:val="000000"/>
          <w:szCs w:val="21"/>
        </w:rPr>
      </w:pPr>
    </w:p>
    <w:p w:rsidR="00FD7316" w:rsidRPr="000A7918" w:rsidRDefault="000A7918" w:rsidP="00FD7316">
      <w:pPr>
        <w:jc w:val="center"/>
        <w:rPr>
          <w:b/>
          <w:bCs/>
          <w:color w:val="000000"/>
          <w:szCs w:val="21"/>
        </w:rPr>
      </w:pPr>
      <w:r w:rsidRPr="000A7918">
        <w:rPr>
          <w:rFonts w:hint="eastAsia"/>
          <w:b/>
          <w:bCs/>
          <w:color w:val="000000"/>
          <w:szCs w:val="21"/>
        </w:rPr>
        <w:t>结论：《物理学》（</w:t>
      </w:r>
      <w:r w:rsidRPr="000A7918">
        <w:rPr>
          <w:rFonts w:hint="eastAsia"/>
          <w:b/>
          <w:bCs/>
          <w:i/>
          <w:color w:val="000000"/>
          <w:szCs w:val="21"/>
        </w:rPr>
        <w:t>Physics</w:t>
      </w:r>
      <w:r w:rsidRPr="000A7918">
        <w:rPr>
          <w:rFonts w:hint="eastAsia"/>
          <w:b/>
          <w:bCs/>
          <w:color w:val="000000"/>
          <w:szCs w:val="21"/>
        </w:rPr>
        <w:t>）卷四第</w:t>
      </w:r>
      <w:r w:rsidRPr="000A7918">
        <w:rPr>
          <w:rFonts w:hint="eastAsia"/>
          <w:b/>
          <w:bCs/>
          <w:color w:val="000000"/>
          <w:szCs w:val="21"/>
        </w:rPr>
        <w:t>10-14</w:t>
      </w:r>
      <w:r w:rsidRPr="000A7918">
        <w:rPr>
          <w:rFonts w:hint="eastAsia"/>
          <w:b/>
          <w:bCs/>
          <w:color w:val="000000"/>
          <w:szCs w:val="21"/>
        </w:rPr>
        <w:t>章中的柯罗诺斯现象学</w:t>
      </w:r>
    </w:p>
    <w:p w:rsidR="00FD7316" w:rsidRPr="00FD7316" w:rsidRDefault="00FD7316" w:rsidP="00116D51">
      <w:pPr>
        <w:rPr>
          <w:bCs/>
          <w:color w:val="000000"/>
          <w:szCs w:val="21"/>
        </w:rPr>
      </w:pPr>
    </w:p>
    <w:p w:rsidR="00FD7316" w:rsidRPr="00FD7316" w:rsidRDefault="000A7918" w:rsidP="00FD731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0A7918" w:rsidP="00FD731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FD7316" w:rsidRDefault="00FD7316" w:rsidP="00FD7316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E8" w:rsidRDefault="002132E8">
      <w:r>
        <w:separator/>
      </w:r>
    </w:p>
  </w:endnote>
  <w:endnote w:type="continuationSeparator" w:id="0">
    <w:p w:rsidR="002132E8" w:rsidRDefault="0021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E8" w:rsidRDefault="002132E8">
      <w:r>
        <w:separator/>
      </w:r>
    </w:p>
  </w:footnote>
  <w:footnote w:type="continuationSeparator" w:id="0">
    <w:p w:rsidR="002132E8" w:rsidRDefault="0021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445"/>
    <w:multiLevelType w:val="hybridMultilevel"/>
    <w:tmpl w:val="A70A9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08528B"/>
    <w:multiLevelType w:val="hybridMultilevel"/>
    <w:tmpl w:val="A5FC5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2"/>
  </w:num>
  <w:num w:numId="5">
    <w:abstractNumId w:val="28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2"/>
  </w:num>
  <w:num w:numId="11">
    <w:abstractNumId w:val="1"/>
  </w:num>
  <w:num w:numId="12">
    <w:abstractNumId w:val="11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6"/>
  </w:num>
  <w:num w:numId="20">
    <w:abstractNumId w:val="39"/>
  </w:num>
  <w:num w:numId="21">
    <w:abstractNumId w:val="33"/>
  </w:num>
  <w:num w:numId="22">
    <w:abstractNumId w:val="27"/>
  </w:num>
  <w:num w:numId="23">
    <w:abstractNumId w:val="3"/>
  </w:num>
  <w:num w:numId="24">
    <w:abstractNumId w:val="7"/>
  </w:num>
  <w:num w:numId="25">
    <w:abstractNumId w:val="34"/>
  </w:num>
  <w:num w:numId="26">
    <w:abstractNumId w:val="4"/>
  </w:num>
  <w:num w:numId="27">
    <w:abstractNumId w:val="16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3F1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A7918"/>
    <w:rsid w:val="000B04AC"/>
    <w:rsid w:val="000B3141"/>
    <w:rsid w:val="000B3EED"/>
    <w:rsid w:val="000B4A5F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16D51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47DE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2E8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6352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391E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A6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05A2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47539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37C3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9F71B0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0ADA"/>
    <w:rsid w:val="00AE265D"/>
    <w:rsid w:val="00AE54DC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4766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3A29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1904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5CF7"/>
    <w:rsid w:val="00FD7316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6B00AC-132D-4B91-B94E-BA8E312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A610-0A1E-4C66-969E-AC96D65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1159</Words>
  <Characters>1623</Characters>
  <Application>Microsoft Office Word</Application>
  <DocSecurity>0</DocSecurity>
  <Lines>90</Lines>
  <Paragraphs>86</Paragraphs>
  <ScaleCrop>false</ScaleCrop>
  <Company>2ndSpAcE</Company>
  <LinksUpToDate>false</LinksUpToDate>
  <CharactersWithSpaces>2696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