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r>
        <w:rPr>
          <w:rFonts w:ascii="sans-serif" w:hAnsi="sans-serif" w:eastAsia="sans-serif" w:cs="sans-serif"/>
          <w:i w:val="0"/>
          <w:iCs w:val="0"/>
          <w:caps w:val="0"/>
          <w:color w:val="000000"/>
          <w:spacing w:val="0"/>
          <w:sz w:val="24"/>
          <w:szCs w:val="24"/>
          <w:shd w:val="clear" w:fill="FFFFFF"/>
        </w:rPr>
        <w:drawing>
          <wp:anchor distT="0" distB="0" distL="114300" distR="114300" simplePos="0" relativeHeight="251661312" behindDoc="1" locked="0" layoutInCell="1" allowOverlap="1">
            <wp:simplePos x="0" y="0"/>
            <wp:positionH relativeFrom="column">
              <wp:posOffset>3940810</wp:posOffset>
            </wp:positionH>
            <wp:positionV relativeFrom="paragraph">
              <wp:posOffset>320675</wp:posOffset>
            </wp:positionV>
            <wp:extent cx="1299845" cy="2002790"/>
            <wp:effectExtent l="0" t="0" r="14605" b="16510"/>
            <wp:wrapTight wrapText="bothSides">
              <wp:wrapPolygon>
                <wp:start x="0" y="0"/>
                <wp:lineTo x="0" y="21367"/>
                <wp:lineTo x="21210" y="21367"/>
                <wp:lineTo x="21210"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299845" cy="2002790"/>
                    </a:xfrm>
                    <a:prstGeom prst="rect">
                      <a:avLst/>
                    </a:prstGeom>
                    <a:noFill/>
                    <a:ln w="9525">
                      <a:noFill/>
                    </a:ln>
                  </pic:spPr>
                </pic:pic>
              </a:graphicData>
            </a:graphic>
          </wp:anchor>
        </w:drawing>
      </w:r>
      <w:r>
        <w:rPr>
          <w:rFonts w:ascii="宋体" w:hAnsi="宋体" w:eastAsia="宋体" w:cs="宋体"/>
          <w:sz w:val="24"/>
          <w:szCs w:val="24"/>
        </w:rPr>
        <w:br w:type="textWrapping"/>
      </w:r>
    </w:p>
    <w:p w14:paraId="5278B87A">
      <w:pPr>
        <w:rPr>
          <w:b/>
          <w:color w:val="000000"/>
          <w:szCs w:val="21"/>
        </w:rPr>
      </w:pPr>
      <w:r>
        <w:rPr>
          <w:b/>
          <w:color w:val="000000"/>
          <w:szCs w:val="21"/>
        </w:rPr>
        <w:t>中文书名：《伊卡洛斯经济学</w:t>
      </w:r>
      <w:r>
        <w:rPr>
          <w:rFonts w:hint="eastAsia"/>
          <w:b/>
          <w:color w:val="000000"/>
          <w:szCs w:val="21"/>
          <w:lang w:eastAsia="zh-CN"/>
        </w:rPr>
        <w:t>：为何富裕经济体举步维艰</w:t>
      </w:r>
      <w:r>
        <w:rPr>
          <w:b/>
          <w:color w:val="000000"/>
          <w:szCs w:val="21"/>
        </w:rPr>
        <w:t>》</w:t>
      </w:r>
    </w:p>
    <w:p w14:paraId="475F180B">
      <w:pPr>
        <w:rPr>
          <w:rFonts w:hint="eastAsia"/>
          <w:b/>
          <w:color w:val="000000"/>
          <w:szCs w:val="21"/>
        </w:rPr>
      </w:pPr>
      <w:r>
        <w:rPr>
          <w:b/>
          <w:color w:val="000000"/>
          <w:szCs w:val="21"/>
        </w:rPr>
        <w:t>英文书名：</w:t>
      </w:r>
      <w:r>
        <w:rPr>
          <w:rFonts w:hint="eastAsia"/>
          <w:b/>
          <w:color w:val="000000"/>
          <w:szCs w:val="21"/>
        </w:rPr>
        <w:t>Icarus Economics: Why Rich Economies Are Struggling - and How to Fix Them</w:t>
      </w:r>
    </w:p>
    <w:p w14:paraId="3C14B3D1">
      <w:pPr>
        <w:rPr>
          <w:b/>
          <w:color w:val="000000"/>
          <w:szCs w:val="21"/>
        </w:rPr>
      </w:pPr>
      <w:r>
        <w:rPr>
          <w:b/>
          <w:color w:val="000000"/>
          <w:szCs w:val="21"/>
        </w:rPr>
        <w:t>作    者：John Rapley</w:t>
      </w:r>
    </w:p>
    <w:p w14:paraId="01433FA8">
      <w:pPr>
        <w:rPr>
          <w:b/>
          <w:color w:val="000000"/>
          <w:szCs w:val="21"/>
        </w:rPr>
      </w:pPr>
      <w:r>
        <w:rPr>
          <w:b/>
          <w:color w:val="000000"/>
          <w:szCs w:val="21"/>
        </w:rPr>
        <w:t>出 版 社：Atlantic</w:t>
      </w:r>
    </w:p>
    <w:p w14:paraId="0BEDC4A2">
      <w:pPr>
        <w:rPr>
          <w:b/>
          <w:color w:val="000000"/>
          <w:szCs w:val="21"/>
        </w:rPr>
      </w:pPr>
      <w:r>
        <w:rPr>
          <w:b/>
          <w:color w:val="000000"/>
          <w:szCs w:val="21"/>
        </w:rPr>
        <w:t>代理公司：David Higham/ANA/Winney</w:t>
      </w:r>
    </w:p>
    <w:p w14:paraId="3B9D41F6">
      <w:pPr>
        <w:rPr>
          <w:rFonts w:hint="default" w:eastAsia="宋体"/>
          <w:b/>
          <w:color w:val="000000"/>
          <w:szCs w:val="21"/>
          <w:lang w:val="en-US" w:eastAsia="zh-CN"/>
        </w:rPr>
      </w:pPr>
      <w:r>
        <w:rPr>
          <w:b/>
          <w:color w:val="000000"/>
          <w:szCs w:val="21"/>
        </w:rPr>
        <w:t>字    数：</w:t>
      </w:r>
      <w:r>
        <w:rPr>
          <w:rFonts w:hint="eastAsia"/>
          <w:b/>
          <w:color w:val="000000"/>
          <w:szCs w:val="21"/>
          <w:lang w:val="en-US" w:eastAsia="zh-CN"/>
        </w:rPr>
        <w:t>300页</w:t>
      </w:r>
    </w:p>
    <w:p w14:paraId="1AF847CF">
      <w:pPr>
        <w:rPr>
          <w:rFonts w:hint="default" w:eastAsia="宋体"/>
          <w:b/>
          <w:color w:val="000000"/>
          <w:szCs w:val="21"/>
          <w:lang w:val="en-US" w:eastAsia="zh-CN"/>
        </w:rPr>
      </w:pPr>
      <w:r>
        <w:rPr>
          <w:b/>
          <w:color w:val="000000"/>
          <w:szCs w:val="21"/>
        </w:rPr>
        <w:t>出版时间：</w:t>
      </w:r>
      <w:r>
        <w:rPr>
          <w:rFonts w:hint="eastAsia"/>
          <w:b/>
          <w:color w:val="000000"/>
          <w:szCs w:val="21"/>
          <w:lang w:val="en-US" w:eastAsia="zh-CN"/>
        </w:rPr>
        <w:t>2026年2月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审读资料：大纲</w:t>
      </w:r>
    </w:p>
    <w:p w14:paraId="29863A22">
      <w:pPr>
        <w:rPr>
          <w:b/>
          <w:color w:val="000000"/>
          <w:szCs w:val="21"/>
        </w:rPr>
      </w:pPr>
      <w:r>
        <w:rPr>
          <w:b/>
          <w:color w:val="000000"/>
          <w:szCs w:val="21"/>
        </w:rPr>
        <w:t>类    型：大众社科</w:t>
      </w:r>
    </w:p>
    <w:p w14:paraId="1D70FD4D">
      <w:pPr>
        <w:rPr>
          <w:rFonts w:hint="default" w:eastAsia="宋体"/>
          <w:b/>
          <w:bCs/>
          <w:color w:val="FF0000"/>
          <w:szCs w:val="21"/>
          <w:lang w:val="en-US" w:eastAsia="zh-CN"/>
        </w:rPr>
      </w:pPr>
      <w:r>
        <w:rPr>
          <w:rFonts w:hint="eastAsia"/>
          <w:b/>
          <w:bCs/>
          <w:color w:val="FF0000"/>
          <w:szCs w:val="21"/>
          <w:lang w:val="en-US" w:eastAsia="zh-CN"/>
        </w:rPr>
        <w:t>版权已授：葡萄牙</w:t>
      </w:r>
    </w:p>
    <w:p w14:paraId="12B22960">
      <w:pPr>
        <w:rPr>
          <w:b/>
          <w:bCs/>
          <w:color w:val="000000"/>
          <w:szCs w:val="21"/>
        </w:rPr>
      </w:pPr>
    </w:p>
    <w:p w14:paraId="57E9F668">
      <w:pPr>
        <w:rPr>
          <w:color w:val="000000"/>
          <w:szCs w:val="21"/>
        </w:rPr>
      </w:pPr>
      <w:r>
        <w:rPr>
          <w:b/>
          <w:bCs/>
          <w:color w:val="000000"/>
          <w:szCs w:val="21"/>
        </w:rPr>
        <w:t>内容简介：</w:t>
      </w:r>
    </w:p>
    <w:p w14:paraId="459EC5E7">
      <w:pPr>
        <w:rPr>
          <w:color w:val="000000"/>
          <w:szCs w:val="21"/>
        </w:rPr>
      </w:pPr>
    </w:p>
    <w:p w14:paraId="6DA4808B">
      <w:pPr>
        <w:ind w:firstLine="420" w:firstLineChars="200"/>
        <w:rPr>
          <w:rFonts w:hint="eastAsia"/>
          <w:color w:val="000000"/>
          <w:szCs w:val="21"/>
        </w:rPr>
      </w:pPr>
      <w:r>
        <w:rPr>
          <w:rFonts w:hint="eastAsia"/>
          <w:color w:val="000000"/>
          <w:szCs w:val="21"/>
        </w:rPr>
        <w:t>经济学家如凯特·拉沃斯（Kate Raworth）和杰森·希克尔（Jason Hickel）长期以来一直认为无止境的增长对生态具有破坏性，并提出了去增长（de-growth）的理念作为回应。但如果去增长被纳入资本主义模式呢？</w:t>
      </w:r>
    </w:p>
    <w:p w14:paraId="17080C7F">
      <w:pPr>
        <w:ind w:firstLine="420" w:firstLineChars="200"/>
        <w:rPr>
          <w:rFonts w:hint="eastAsia"/>
          <w:color w:val="000000"/>
          <w:szCs w:val="21"/>
        </w:rPr>
      </w:pPr>
    </w:p>
    <w:p w14:paraId="0548E47C">
      <w:pPr>
        <w:ind w:firstLine="420" w:firstLineChars="200"/>
        <w:rPr>
          <w:color w:val="000000"/>
          <w:szCs w:val="21"/>
        </w:rPr>
      </w:pPr>
      <w:r>
        <w:rPr>
          <w:rFonts w:hint="eastAsia"/>
          <w:color w:val="000000"/>
          <w:szCs w:val="21"/>
        </w:rPr>
        <w:t>我们通常认为贫穷国家将承受气候变化、大流行病以及其他外生冲击的大部分影响，但</w:t>
      </w:r>
      <w:r>
        <w:rPr>
          <w:color w:val="000000"/>
          <w:szCs w:val="21"/>
        </w:rPr>
        <w:t>经济学家约翰在</w:t>
      </w:r>
      <w:r>
        <w:rPr>
          <w:rFonts w:hint="eastAsia"/>
          <w:color w:val="000000"/>
          <w:szCs w:val="21"/>
          <w:lang w:val="en-US" w:eastAsia="zh-CN"/>
        </w:rPr>
        <w:t>该书</w:t>
      </w:r>
      <w:r>
        <w:rPr>
          <w:color w:val="000000"/>
          <w:szCs w:val="21"/>
        </w:rPr>
        <w:t>中提出了一个大胆而新颖的观点</w:t>
      </w:r>
      <w:r>
        <w:rPr>
          <w:rFonts w:hint="eastAsia"/>
          <w:color w:val="000000"/>
          <w:szCs w:val="21"/>
        </w:rPr>
        <w:t>：</w:t>
      </w:r>
      <w:r>
        <w:rPr>
          <w:color w:val="000000"/>
          <w:szCs w:val="21"/>
        </w:rPr>
        <w:t>西方社会，而非发展中国家，将在气候危机中承受更大的损失。西方社会拥有更多，但也更脆弱，适应变化的成本更高，维持富裕的代价更为昂贵</w:t>
      </w:r>
      <w:r>
        <w:rPr>
          <w:rFonts w:hint="eastAsia"/>
          <w:color w:val="000000"/>
          <w:szCs w:val="21"/>
        </w:rPr>
        <w:t>。《伊卡洛斯经济学》（Icarus Economics）展示了富裕国家如何在发展过程中帮助贫穷国家实现去碳化，并在此过程中修复自身停滞不前的经济以及整个地球。</w:t>
      </w:r>
    </w:p>
    <w:p w14:paraId="5872207E">
      <w:pPr>
        <w:rPr>
          <w:color w:val="000000"/>
          <w:szCs w:val="21"/>
        </w:rPr>
      </w:pPr>
    </w:p>
    <w:p w14:paraId="2D556B80">
      <w:pPr>
        <w:ind w:firstLine="420" w:firstLineChars="200"/>
        <w:rPr>
          <w:color w:val="000000"/>
          <w:szCs w:val="21"/>
        </w:rPr>
      </w:pPr>
      <w:r>
        <w:rPr>
          <w:color w:val="000000"/>
          <w:szCs w:val="21"/>
        </w:rPr>
        <w:t>然而，危机中也蕴藏着机遇。约翰提出，发达国家拥有资金和技术，可以帮助发展中国家快速脱碳，而发展中国家的发展需求反过来可以为发达国家的技术出口创造市场。这为一种新的马歇尔计划提供了可能：通过建设发展中国家所需的可再生能源基础设施，同时推动西方经济重回可持续轨道。</w:t>
      </w:r>
    </w:p>
    <w:p w14:paraId="4109CC4A">
      <w:pPr>
        <w:rPr>
          <w:color w:val="000000"/>
          <w:szCs w:val="21"/>
        </w:rPr>
      </w:pPr>
    </w:p>
    <w:p w14:paraId="2FEF14F7">
      <w:pPr>
        <w:rPr>
          <w:color w:val="000000"/>
          <w:szCs w:val="21"/>
        </w:rPr>
      </w:pPr>
      <w:r>
        <w:rPr>
          <w:color w:val="000000"/>
          <w:szCs w:val="21"/>
        </w:rPr>
        <w:t>为什么推荐这本书？</w:t>
      </w:r>
    </w:p>
    <w:p w14:paraId="6CDC0044">
      <w:pPr>
        <w:rPr>
          <w:color w:val="000000"/>
          <w:szCs w:val="21"/>
        </w:rPr>
      </w:pPr>
    </w:p>
    <w:p w14:paraId="72329F19">
      <w:pPr>
        <w:rPr>
          <w:color w:val="000000"/>
          <w:szCs w:val="21"/>
        </w:rPr>
      </w:pPr>
      <w:r>
        <w:rPr>
          <w:b/>
          <w:bCs/>
          <w:color w:val="000000"/>
          <w:szCs w:val="21"/>
        </w:rPr>
        <w:t>·颠覆性观点：</w:t>
      </w:r>
      <w:r>
        <w:rPr>
          <w:color w:val="000000"/>
          <w:szCs w:val="21"/>
        </w:rPr>
        <w:t>打破“去增长”是唯一出路的传统思维，提出资本主义模型内生的收缩逻辑。</w:t>
      </w:r>
    </w:p>
    <w:p w14:paraId="1B0E7986">
      <w:pPr>
        <w:rPr>
          <w:color w:val="000000"/>
          <w:szCs w:val="21"/>
        </w:rPr>
      </w:pPr>
      <w:r>
        <w:rPr>
          <w:b/>
          <w:bCs/>
          <w:color w:val="000000"/>
          <w:szCs w:val="21"/>
        </w:rPr>
        <w:t>·全球视角：</w:t>
      </w:r>
      <w:r>
        <w:rPr>
          <w:color w:val="000000"/>
          <w:szCs w:val="21"/>
        </w:rPr>
        <w:t>重新审视发达国家与发展中国家在气候危机中的角色与责任。</w:t>
      </w:r>
    </w:p>
    <w:p w14:paraId="1558C267">
      <w:pPr>
        <w:rPr>
          <w:color w:val="000000"/>
          <w:szCs w:val="21"/>
        </w:rPr>
      </w:pPr>
      <w:r>
        <w:rPr>
          <w:b/>
          <w:bCs/>
          <w:color w:val="000000"/>
          <w:szCs w:val="21"/>
        </w:rPr>
        <w:t>·务实解决方案：</w:t>
      </w:r>
      <w:r>
        <w:rPr>
          <w:color w:val="000000"/>
          <w:szCs w:val="21"/>
        </w:rPr>
        <w:t>提出一种新的国际合作模式，既解决气候问题，又推动全球经济可持续发展。</w:t>
      </w:r>
    </w:p>
    <w:p w14:paraId="0926B027">
      <w:pPr>
        <w:rPr>
          <w:color w:val="000000"/>
          <w:szCs w:val="21"/>
        </w:rPr>
      </w:pPr>
      <w:r>
        <w:rPr>
          <w:b/>
          <w:bCs/>
          <w:color w:val="000000"/>
          <w:szCs w:val="21"/>
        </w:rPr>
        <w:t>·短小精悍：</w:t>
      </w:r>
      <w:r>
        <w:rPr>
          <w:color w:val="000000"/>
          <w:szCs w:val="21"/>
        </w:rPr>
        <w:t>观点犀利，语言简洁，适合忙碌的读者快速抓住核心思想。</w:t>
      </w:r>
    </w:p>
    <w:p w14:paraId="43861B93">
      <w:pPr>
        <w:rPr>
          <w:color w:val="000000"/>
          <w:szCs w:val="21"/>
        </w:rPr>
      </w:pPr>
    </w:p>
    <w:p w14:paraId="639EC6F9">
      <w:pPr>
        <w:rPr>
          <w:color w:val="000000"/>
          <w:szCs w:val="21"/>
        </w:rPr>
      </w:pPr>
    </w:p>
    <w:p w14:paraId="5D4432F8">
      <w:pPr>
        <w:rPr>
          <w:b/>
          <w:bCs/>
          <w:color w:val="000000"/>
          <w:szCs w:val="21"/>
        </w:rPr>
      </w:pPr>
      <w:r>
        <w:rPr>
          <w:b/>
          <w:bCs/>
          <w:color w:val="000000"/>
          <w:szCs w:val="21"/>
        </w:rPr>
        <w:t>作者简介：</w:t>
      </w:r>
    </w:p>
    <w:p w14:paraId="1C643F3E">
      <w:pPr>
        <w:rPr>
          <w:color w:val="000000"/>
          <w:szCs w:val="21"/>
        </w:rPr>
      </w:pPr>
    </w:p>
    <w:p w14:paraId="4CDAFD9F">
      <w:pPr>
        <w:ind w:firstLine="420" w:firstLineChars="200"/>
        <w:rPr>
          <w:color w:val="000000"/>
          <w:szCs w:val="21"/>
        </w:rPr>
      </w:pPr>
      <w:r>
        <w:drawing>
          <wp:anchor distT="0" distB="0" distL="114300" distR="114300" simplePos="0" relativeHeight="251660288" behindDoc="0" locked="0" layoutInCell="1" allowOverlap="1">
            <wp:simplePos x="0" y="0"/>
            <wp:positionH relativeFrom="margin">
              <wp:posOffset>-635</wp:posOffset>
            </wp:positionH>
            <wp:positionV relativeFrom="paragraph">
              <wp:posOffset>14605</wp:posOffset>
            </wp:positionV>
            <wp:extent cx="901700" cy="1127125"/>
            <wp:effectExtent l="0" t="0" r="0" b="0"/>
            <wp:wrapSquare wrapText="bothSides"/>
            <wp:docPr id="5827907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0709"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1700" cy="1127125"/>
                    </a:xfrm>
                    <a:prstGeom prst="rect">
                      <a:avLst/>
                    </a:prstGeom>
                    <a:noFill/>
                    <a:ln>
                      <a:noFill/>
                    </a:ln>
                  </pic:spPr>
                </pic:pic>
              </a:graphicData>
            </a:graphic>
          </wp:anchor>
        </w:drawing>
      </w:r>
      <w:r>
        <w:rPr>
          <w:b/>
          <w:bCs/>
          <w:color w:val="000000"/>
          <w:szCs w:val="21"/>
        </w:rPr>
        <w:t>约翰·拉普利（John Rapley）</w:t>
      </w:r>
      <w:r>
        <w:rPr>
          <w:color w:val="000000"/>
          <w:szCs w:val="21"/>
        </w:rPr>
        <w:t>，剑桥大学政治经济学家，约翰内斯堡高级研究所的高级研究员。</w:t>
      </w:r>
      <w:r>
        <w:rPr>
          <w:rFonts w:hint="eastAsia"/>
          <w:color w:val="000000"/>
          <w:szCs w:val="21"/>
        </w:rPr>
        <w:t>在发展中国家作为记者、讲师和政策顾问生活和工作了二十年后，约翰·拉普利博士（Dr. John Rapley）于2012年返回英国。</w:t>
      </w:r>
      <w:r>
        <w:rPr>
          <w:color w:val="000000"/>
          <w:szCs w:val="21"/>
        </w:rPr>
        <w:t>他的著作包括《理解发展》（Understanding Development），该书仍是发展研究领域的广泛使用教材，以及《全球化与不平等》（Globalization and Inequality）和最近的《金钱神祇的黄昏：经济学作为一种宗教及其如何走向失败》（Twilight of the Money Gods: Economics as a Religion and How it all Went Wrong）</w:t>
      </w:r>
      <w:r>
        <w:rPr>
          <w:rFonts w:hint="eastAsia"/>
          <w:color w:val="000000"/>
          <w:szCs w:val="21"/>
        </w:rPr>
        <w:t>以及与彼得·希瑟（Peter Heather）合著的《帝国为何衰落》（Why Empires Fall），于2023年由艾伦·莱恩/企鹅出版社（Allen Lane / Penguin）出版。</w:t>
      </w:r>
      <w:bookmarkStart w:id="2" w:name="_GoBack"/>
      <w:bookmarkEnd w:id="2"/>
    </w:p>
    <w:p w14:paraId="023F579F">
      <w:pPr>
        <w:rPr>
          <w:color w:val="000000"/>
          <w:szCs w:val="21"/>
        </w:rPr>
      </w:pPr>
    </w:p>
    <w:p w14:paraId="08409D46">
      <w:pPr>
        <w:rPr>
          <w:color w:val="000000"/>
          <w:szCs w:val="21"/>
        </w:rPr>
      </w:pPr>
    </w:p>
    <w:p w14:paraId="31DE381C">
      <w:pPr>
        <w:rPr>
          <w:b/>
          <w:bCs/>
          <w:color w:val="000000"/>
          <w:szCs w:val="21"/>
        </w:rPr>
      </w:pPr>
      <w:r>
        <w:rPr>
          <w:b/>
          <w:bCs/>
          <w:color w:val="000000"/>
          <w:szCs w:val="21"/>
        </w:rPr>
        <w:t>媒体评价：</w:t>
      </w:r>
    </w:p>
    <w:p w14:paraId="351B4E0F">
      <w:pPr>
        <w:rPr>
          <w:color w:val="000000"/>
          <w:szCs w:val="21"/>
        </w:rPr>
      </w:pPr>
    </w:p>
    <w:p w14:paraId="189921E0">
      <w:pPr>
        <w:rPr>
          <w:color w:val="000000"/>
          <w:szCs w:val="21"/>
        </w:rPr>
      </w:pPr>
      <w:r>
        <w:rPr>
          <w:color w:val="000000"/>
          <w:szCs w:val="21"/>
        </w:rPr>
        <w:t>对前作《帝国为何衰落》（WHY EMPIRES FALL）的赞誉：</w:t>
      </w:r>
    </w:p>
    <w:p w14:paraId="3F504568">
      <w:pPr>
        <w:rPr>
          <w:color w:val="000000"/>
          <w:szCs w:val="21"/>
        </w:rPr>
      </w:pPr>
    </w:p>
    <w:p w14:paraId="61789B9A">
      <w:pPr>
        <w:ind w:firstLine="420" w:firstLineChars="200"/>
        <w:rPr>
          <w:color w:val="000000"/>
          <w:szCs w:val="21"/>
        </w:rPr>
      </w:pPr>
      <w:r>
        <w:rPr>
          <w:color w:val="000000"/>
          <w:szCs w:val="21"/>
        </w:rPr>
        <w:t>“一部引人入胜、信息丰富且深思熟虑的作品。”</w:t>
      </w:r>
    </w:p>
    <w:p w14:paraId="55501E01">
      <w:pPr>
        <w:jc w:val="right"/>
        <w:rPr>
          <w:color w:val="000000"/>
          <w:szCs w:val="21"/>
        </w:rPr>
      </w:pPr>
      <w:r>
        <w:rPr>
          <w:color w:val="000000"/>
          <w:szCs w:val="21"/>
        </w:rPr>
        <w:t>——《金融时报》</w:t>
      </w:r>
    </w:p>
    <w:p w14:paraId="22ECAE49">
      <w:pPr>
        <w:rPr>
          <w:color w:val="000000"/>
          <w:szCs w:val="21"/>
        </w:rPr>
      </w:pPr>
    </w:p>
    <w:p w14:paraId="7D9BF689">
      <w:pPr>
        <w:ind w:firstLine="420" w:firstLineChars="200"/>
        <w:rPr>
          <w:color w:val="000000"/>
          <w:szCs w:val="21"/>
        </w:rPr>
      </w:pPr>
      <w:r>
        <w:rPr>
          <w:color w:val="000000"/>
          <w:szCs w:val="21"/>
        </w:rPr>
        <w:t>“一本有用的后吉本式指南，解释了罗马帝国为何衰落……一部有趣的论战性作品。”</w:t>
      </w:r>
    </w:p>
    <w:p w14:paraId="634DCE5E">
      <w:pPr>
        <w:jc w:val="right"/>
        <w:rPr>
          <w:color w:val="000000"/>
          <w:szCs w:val="21"/>
        </w:rPr>
      </w:pPr>
      <w:r>
        <w:rPr>
          <w:color w:val="000000"/>
          <w:szCs w:val="21"/>
        </w:rPr>
        <w:t>——《每日电讯报》</w:t>
      </w:r>
    </w:p>
    <w:p w14:paraId="73A40AFF">
      <w:pPr>
        <w:rPr>
          <w:color w:val="000000"/>
          <w:szCs w:val="21"/>
        </w:rPr>
      </w:pPr>
    </w:p>
    <w:p w14:paraId="3AF2DBDE">
      <w:pPr>
        <w:ind w:firstLine="420" w:firstLineChars="200"/>
        <w:rPr>
          <w:color w:val="000000"/>
          <w:szCs w:val="21"/>
        </w:rPr>
      </w:pPr>
      <w:r>
        <w:rPr>
          <w:color w:val="000000"/>
          <w:szCs w:val="21"/>
        </w:rPr>
        <w:t>“一部具有挑衅性的短篇著作……带有新颖的转折。”</w:t>
      </w:r>
    </w:p>
    <w:p w14:paraId="11E9A6D2">
      <w:pPr>
        <w:jc w:val="right"/>
        <w:rPr>
          <w:color w:val="000000"/>
          <w:szCs w:val="21"/>
        </w:rPr>
      </w:pPr>
      <w:r>
        <w:rPr>
          <w:color w:val="000000"/>
          <w:szCs w:val="21"/>
        </w:rPr>
        <w:t>——《经济学人》</w:t>
      </w:r>
    </w:p>
    <w:p w14:paraId="75247466">
      <w:pPr>
        <w:rPr>
          <w:color w:val="000000"/>
          <w:szCs w:val="21"/>
        </w:rPr>
      </w:pPr>
    </w:p>
    <w:p w14:paraId="4BB19197">
      <w:pPr>
        <w:ind w:firstLine="420" w:firstLineChars="200"/>
        <w:rPr>
          <w:color w:val="000000"/>
          <w:szCs w:val="21"/>
        </w:rPr>
      </w:pPr>
      <w:r>
        <w:rPr>
          <w:color w:val="000000"/>
          <w:szCs w:val="21"/>
        </w:rPr>
        <w:t>“一部迷人的书。”</w:t>
      </w:r>
    </w:p>
    <w:p w14:paraId="762B3CBF">
      <w:pPr>
        <w:jc w:val="right"/>
        <w:rPr>
          <w:color w:val="000000"/>
          <w:szCs w:val="21"/>
        </w:rPr>
      </w:pPr>
      <w:r>
        <w:rPr>
          <w:color w:val="000000"/>
          <w:szCs w:val="21"/>
        </w:rPr>
        <w:t>——《金融时报》，“2023年夏季最佳经济学书籍”</w:t>
      </w:r>
    </w:p>
    <w:p w14:paraId="16764EBA">
      <w:pPr>
        <w:rPr>
          <w:color w:val="000000"/>
          <w:szCs w:val="21"/>
        </w:rPr>
      </w:pPr>
    </w:p>
    <w:p w14:paraId="2C1157C8">
      <w:pPr>
        <w:ind w:firstLine="420" w:firstLineChars="200"/>
        <w:rPr>
          <w:color w:val="000000"/>
          <w:szCs w:val="21"/>
        </w:rPr>
      </w:pPr>
      <w:r>
        <w:rPr>
          <w:color w:val="000000"/>
          <w:szCs w:val="21"/>
        </w:rPr>
        <w:t>“一部简短、冷静（且发人深省）的著作，描述了我们现在的处境以及我们可能走向何方……清晰且引人入胜……令人震惊的事实和数据。”</w:t>
      </w:r>
    </w:p>
    <w:p w14:paraId="738E5EA7">
      <w:pPr>
        <w:jc w:val="right"/>
        <w:rPr>
          <w:color w:val="000000"/>
          <w:szCs w:val="21"/>
        </w:rPr>
      </w:pPr>
      <w:r>
        <w:rPr>
          <w:color w:val="000000"/>
          <w:szCs w:val="21"/>
        </w:rPr>
        <w:t>——《泰晤士报文学增刊》</w:t>
      </w:r>
    </w:p>
    <w:p w14:paraId="37D21844">
      <w:pPr>
        <w:rPr>
          <w:color w:val="000000"/>
          <w:szCs w:val="21"/>
        </w:rPr>
      </w:pPr>
    </w:p>
    <w:p w14:paraId="34B7AB08">
      <w:pPr>
        <w:rPr>
          <w:b/>
          <w:color w:val="000000"/>
        </w:rPr>
      </w:pPr>
    </w:p>
    <w:p w14:paraId="05292C33">
      <w:pPr>
        <w:shd w:val="clear" w:color="auto" w:fill="FFFFFF"/>
        <w:rPr>
          <w:color w:val="000000"/>
          <w:szCs w:val="21"/>
        </w:rPr>
      </w:pPr>
      <w:bookmarkStart w:id="0" w:name="OLE_LINK38"/>
      <w:bookmarkStart w:id="1" w:name="OLE_LINK43"/>
      <w:r>
        <w:rPr>
          <w:b/>
          <w:bCs/>
          <w:color w:val="000000"/>
          <w:szCs w:val="21"/>
        </w:rPr>
        <w:t>感谢您的阅读！</w:t>
      </w:r>
    </w:p>
    <w:p w14:paraId="17914F49">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3551"/>
    <w:rsid w:val="00121268"/>
    <w:rsid w:val="00123E4A"/>
    <w:rsid w:val="00132921"/>
    <w:rsid w:val="0013309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55DE2"/>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634B"/>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2103A"/>
    <w:rsid w:val="00655FA9"/>
    <w:rsid w:val="006656BA"/>
    <w:rsid w:val="00667C85"/>
    <w:rsid w:val="00680EFB"/>
    <w:rsid w:val="006A32E8"/>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1CC6"/>
    <w:rsid w:val="00953C63"/>
    <w:rsid w:val="0095747D"/>
    <w:rsid w:val="00965230"/>
    <w:rsid w:val="00973993"/>
    <w:rsid w:val="00973E1A"/>
    <w:rsid w:val="009836C5"/>
    <w:rsid w:val="00995581"/>
    <w:rsid w:val="0099584D"/>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40A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9621B3B"/>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CE28D5"/>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424C7E"/>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720</Words>
  <Characters>886</Characters>
  <Lines>14</Lines>
  <Paragraphs>4</Paragraphs>
  <TotalTime>10</TotalTime>
  <ScaleCrop>false</ScaleCrop>
  <LinksUpToDate>false</LinksUpToDate>
  <CharactersWithSpaces>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2025-02-12T06:29:00Z</dcterms:created>
  <dc:creator>Image</dc:creator>
  <cp:lastModifiedBy>SEER</cp:lastModifiedBy>
  <cp:lastPrinted>2005-06-10T06:33:00Z</cp:lastPrinted>
  <dcterms:modified xsi:type="dcterms:W3CDTF">2025-10-27T06:44:13Z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A04D8D21353545DAADCB5769631A1554_13</vt:lpwstr>
  </property>
  <property fmtid="{D5CDD505-2E9C-101B-9397-08002B2CF9AE}" pid="4" name="KSOTemplateDocerSaveRecord">
    <vt:lpwstr>eyJoZGlkIjoiNzRmMzU4Mjk2YmIwMTljMDY5ZjlkOGIxNmEzNTQ3ZjciLCJ1c2VySWQiOiIzMTY4NjA3MjQifQ==</vt:lpwstr>
  </property>
</Properties>
</file>