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174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0D1174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40D1174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0D1174E">
      <w:pPr>
        <w:rPr>
          <w:b/>
          <w:color w:val="000000"/>
          <w:szCs w:val="21"/>
        </w:rPr>
      </w:pPr>
    </w:p>
    <w:p w14:paraId="40D1174F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837055" cy="2630805"/>
            <wp:effectExtent l="0" t="0" r="0" b="0"/>
            <wp:wrapSquare wrapText="bothSides"/>
            <wp:docPr id="442352890" name="图片 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52890" name="图片 1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b/>
          <w:bCs/>
          <w:color w:val="000000"/>
          <w:szCs w:val="21"/>
        </w:rPr>
        <w:t>大脑游戏：解锁</w:t>
      </w:r>
      <w:r>
        <w:rPr>
          <w:rFonts w:hint="eastAsia"/>
          <w:b/>
          <w:bCs/>
          <w:color w:val="000000"/>
          <w:szCs w:val="21"/>
        </w:rPr>
        <w:t>你的</w:t>
      </w:r>
      <w:r>
        <w:rPr>
          <w:b/>
          <w:bCs/>
          <w:color w:val="000000"/>
          <w:szCs w:val="21"/>
        </w:rPr>
        <w:t>非凡脑力</w:t>
      </w:r>
      <w:r>
        <w:rPr>
          <w:rFonts w:hint="eastAsia"/>
          <w:b/>
          <w:color w:val="000000"/>
          <w:szCs w:val="21"/>
        </w:rPr>
        <w:t>》</w:t>
      </w:r>
    </w:p>
    <w:p w14:paraId="40D117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 BRAIN GAME:</w:t>
      </w:r>
      <w:r>
        <w:t xml:space="preserve"> </w:t>
      </w:r>
      <w:r>
        <w:rPr>
          <w:b/>
          <w:bCs/>
          <w:color w:val="000000"/>
          <w:szCs w:val="21"/>
        </w:rPr>
        <w:t>Unlock the remarkable power of the human brain – straight from a neurosurgeon’s playbook</w:t>
      </w:r>
    </w:p>
    <w:p w14:paraId="40D1175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Soumya Mukherjee</w:t>
      </w:r>
    </w:p>
    <w:p w14:paraId="40D1175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>待定</w:t>
      </w:r>
    </w:p>
    <w:p w14:paraId="40D1175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代理公司：RML/Jackie</w:t>
      </w:r>
    </w:p>
    <w:p w14:paraId="40D1175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>
        <w:rPr>
          <w:b/>
          <w:color w:val="000000"/>
          <w:szCs w:val="21"/>
        </w:rPr>
        <w:t xml:space="preserve">    数：</w:t>
      </w:r>
      <w:r>
        <w:rPr>
          <w:rFonts w:hint="eastAsia"/>
          <w:b/>
          <w:color w:val="000000"/>
          <w:szCs w:val="21"/>
        </w:rPr>
        <w:t>约80,000词</w:t>
      </w:r>
    </w:p>
    <w:p w14:paraId="40D117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14:paraId="40D117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0D1175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0D117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科普</w:t>
      </w:r>
    </w:p>
    <w:p w14:paraId="40D1175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版权已授：巴西、意大利、罗马尼亚、西班牙、德国（五方竞价）、波兰（竞价）</w:t>
      </w:r>
    </w:p>
    <w:p w14:paraId="40D1175A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英国（接连拒绝两次pre-empt）</w:t>
      </w:r>
    </w:p>
    <w:p w14:paraId="398CE85F">
      <w:pPr>
        <w:rPr>
          <w:b/>
          <w:bCs/>
          <w:color w:val="000000"/>
          <w:szCs w:val="21"/>
        </w:rPr>
      </w:pPr>
    </w:p>
    <w:p w14:paraId="45289682">
      <w:pPr>
        <w:rPr>
          <w:b/>
          <w:bCs/>
          <w:color w:val="000000"/>
          <w:szCs w:val="21"/>
        </w:rPr>
      </w:pPr>
    </w:p>
    <w:p w14:paraId="40D1175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0D1175E">
      <w:pPr>
        <w:rPr>
          <w:color w:val="000000"/>
          <w:szCs w:val="21"/>
        </w:rPr>
      </w:pPr>
    </w:p>
    <w:p w14:paraId="35C48C4C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“头脑如同降落伞——敞开</w:t>
      </w:r>
      <w:bookmarkStart w:id="2" w:name="_GoBack"/>
      <w:bookmarkEnd w:id="2"/>
      <w:r>
        <w:rPr>
          <w:rFonts w:hint="eastAsia"/>
          <w:color w:val="000000"/>
          <w:szCs w:val="21"/>
        </w:rPr>
        <w:t>才能发挥作用。”</w:t>
      </w:r>
    </w:p>
    <w:p w14:paraId="33BB3867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——托马斯·德瓦</w:t>
      </w:r>
    </w:p>
    <w:p w14:paraId="21F6B0BD">
      <w:pPr>
        <w:rPr>
          <w:color w:val="000000"/>
          <w:szCs w:val="21"/>
        </w:rPr>
      </w:pPr>
    </w:p>
    <w:p w14:paraId="0FE6F8C3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一部面向大众的科学指南，旨在提升大脑健康与认知表现。</w:t>
      </w:r>
    </w:p>
    <w:p w14:paraId="2AE209DD">
      <w:pPr>
        <w:rPr>
          <w:color w:val="000000"/>
          <w:szCs w:val="21"/>
        </w:rPr>
      </w:pPr>
    </w:p>
    <w:p w14:paraId="3CA11F87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中风、失智症、心理疾病、认知疲劳已然成为时代隐忧，《大脑游戏》既是一部行动指南，也是一本生存手册，带领读者直击宇宙最复杂器官的奥秘。本书旨在指引读者优化大脑、绽放潜能。就像是大脑版的《原子习惯》(</w:t>
      </w:r>
      <w:r>
        <w:rPr>
          <w:color w:val="000000"/>
          <w:szCs w:val="21"/>
        </w:rPr>
        <w:t>Atomic Habits</w:t>
      </w:r>
      <w:r>
        <w:rPr>
          <w:rFonts w:hint="eastAsia"/>
          <w:color w:val="000000"/>
          <w:szCs w:val="21"/>
        </w:rPr>
        <w:t>)，本书将实用科学、动人叙事、长效策略完美融合。</w:t>
      </w:r>
    </w:p>
    <w:p w14:paraId="0C435962">
      <w:pPr>
        <w:rPr>
          <w:color w:val="000000"/>
          <w:szCs w:val="21"/>
        </w:rPr>
      </w:pPr>
    </w:p>
    <w:p w14:paraId="6A435020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市面上很多同类作品仅聚焦睡眠、饮食、记忆或习惯的单一视角，《大脑游戏》则构建完整的大脑健康生态，破译塑造心智的隐形力量，提供突破认知边界的革命性框架。从行走呼吸、咀嚼聆听，到基因、生活方式乃至美容护理对大脑所造成的深层影响。</w:t>
      </w:r>
    </w:p>
    <w:p w14:paraId="651C8C48">
      <w:pPr>
        <w:rPr>
          <w:color w:val="000000"/>
          <w:szCs w:val="21"/>
        </w:rPr>
      </w:pPr>
    </w:p>
    <w:p w14:paraId="4CF2D8BD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本书带领读者从手术室透视日常生活如何重塑大脑，每章都以生动比喻凝练前沿神经科学，穿插患者故事与重磅人物独家访谈——包括与首位植入马斯克Neuralink脑机的前水上运动员诺兰·阿博（Noland Arbaugh）对话，与法拉利前总裁谈论脑科学驱动的行车安全，以及和众多人工智能科技先驱促膝长谈。</w:t>
      </w:r>
    </w:p>
    <w:p w14:paraId="6840863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目录</w:t>
      </w:r>
    </w:p>
    <w:p w14:paraId="48392B78">
      <w:pPr>
        <w:rPr>
          <w:rFonts w:hint="eastAsia"/>
          <w:color w:val="000000"/>
          <w:szCs w:val="21"/>
        </w:rPr>
      </w:pPr>
    </w:p>
    <w:p w14:paraId="1B7198E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第一部分：大脑游戏的起源</w:t>
      </w:r>
    </w:p>
    <w:p w14:paraId="7003083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 大脑进化简史</w:t>
      </w:r>
    </w:p>
    <w:p w14:paraId="3F5F185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 脑保健源起</w:t>
      </w:r>
    </w:p>
    <w:p w14:paraId="3E34E2D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 看不见的隐形大脑</w:t>
      </w:r>
    </w:p>
    <w:p w14:paraId="0DEE74C0">
      <w:pPr>
        <w:rPr>
          <w:color w:val="000000"/>
          <w:szCs w:val="21"/>
        </w:rPr>
      </w:pPr>
    </w:p>
    <w:p w14:paraId="100190C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第二部分：大脑游戏法则</w:t>
      </w:r>
    </w:p>
    <w:p w14:paraId="271C613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 大脑的十字母密码</w:t>
      </w:r>
    </w:p>
    <w:p w14:paraId="06CA279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 神经三重奏：防护·成长·蜕变</w:t>
      </w:r>
    </w:p>
    <w:p w14:paraId="145C9C14">
      <w:pPr>
        <w:rPr>
          <w:color w:val="000000"/>
          <w:szCs w:val="21"/>
        </w:rPr>
      </w:pPr>
    </w:p>
    <w:p w14:paraId="3FDC59C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第三部分：开始你的大脑游戏</w:t>
      </w:r>
    </w:p>
    <w:p w14:paraId="036DB93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 身体传递的大脑密语</w:t>
      </w:r>
    </w:p>
    <w:p w14:paraId="2367E94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 七大智慧基因</w:t>
      </w:r>
    </w:p>
    <w:p w14:paraId="646CD7ED">
      <w:pPr>
        <w:rPr>
          <w:color w:val="000000"/>
          <w:szCs w:val="21"/>
        </w:rPr>
      </w:pPr>
    </w:p>
    <w:p w14:paraId="3EA4937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第四部分：赢得日常大脑游戏——微调习惯，激活思维</w:t>
      </w:r>
    </w:p>
    <w:p w14:paraId="4AB9F31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 智慧呼吸法</w:t>
      </w:r>
    </w:p>
    <w:p w14:paraId="5AAF1E9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 身姿如贾格尔，思维似爱因斯坦</w:t>
      </w:r>
    </w:p>
    <w:p w14:paraId="0B36001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 颅内的社交盛宴</w:t>
      </w:r>
    </w:p>
    <w:p w14:paraId="31AD6B4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第十一章 美丽与大脑的对话</w:t>
      </w:r>
    </w:p>
    <w:p w14:paraId="64F8B01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第十二章 食为思源</w:t>
      </w:r>
    </w:p>
    <w:p w14:paraId="33878E5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第十三章 唤醒沉睡的感官</w:t>
      </w:r>
    </w:p>
    <w:p w14:paraId="726D47D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第十四章 清洁有道：护脑卫生学</w:t>
      </w:r>
    </w:p>
    <w:p w14:paraId="656B17C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第十五章 睡眠律动与脑波协奏</w:t>
      </w:r>
    </w:p>
    <w:p w14:paraId="587CA23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第十六章 心脑桥梁</w:t>
      </w:r>
    </w:p>
    <w:p w14:paraId="4068A95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第十七章 他的脑，她的脑：X与Y染色体密码</w:t>
      </w:r>
    </w:p>
    <w:p w14:paraId="0A347A3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第十八章 亲生物大脑：环境塑造力</w:t>
      </w:r>
    </w:p>
    <w:p w14:paraId="1A4272F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第十九章 闻声启智</w:t>
      </w:r>
    </w:p>
    <w:p w14:paraId="02424548">
      <w:pPr>
        <w:rPr>
          <w:color w:val="000000"/>
          <w:szCs w:val="21"/>
        </w:rPr>
      </w:pPr>
    </w:p>
    <w:p w14:paraId="436887D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第五部分：赢在未来大脑游戏</w:t>
      </w:r>
    </w:p>
    <w:p w14:paraId="1C2F1A4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第二十章 掌控潜意识</w:t>
      </w:r>
    </w:p>
    <w:p w14:paraId="5610970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第二十一章 习惯齿轮精密调校</w:t>
      </w:r>
    </w:p>
    <w:p w14:paraId="557E8A9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第二十二章 当AI遇见人脑：智能力时代</w:t>
      </w:r>
    </w:p>
    <w:p w14:paraId="16C6352E">
      <w:pPr>
        <w:rPr>
          <w:rFonts w:hint="eastAsia"/>
          <w:color w:val="000000"/>
          <w:szCs w:val="21"/>
        </w:rPr>
      </w:pPr>
    </w:p>
    <w:p w14:paraId="6364A6D0">
      <w:pPr>
        <w:rPr>
          <w:color w:val="000000"/>
          <w:szCs w:val="21"/>
        </w:rPr>
      </w:pPr>
    </w:p>
    <w:p w14:paraId="382408C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【来自代理人】</w:t>
      </w:r>
    </w:p>
    <w:p w14:paraId="662B7DBC">
      <w:pPr>
        <w:rPr>
          <w:color w:val="000000"/>
          <w:szCs w:val="21"/>
        </w:rPr>
      </w:pPr>
    </w:p>
    <w:p w14:paraId="2DA258CA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我怀着无比激动的心情向您推荐这部杰出的非虚构新作——《大脑游戏》，由英国顶尖脑外科医生苏米亚·穆克吉(</w:t>
      </w:r>
      <w:r>
        <w:rPr>
          <w:color w:val="000000"/>
          <w:szCs w:val="21"/>
        </w:rPr>
        <w:t>Soumya Mukherjee</w:t>
      </w:r>
      <w:r>
        <w:rPr>
          <w:rFonts w:hint="eastAsia"/>
          <w:color w:val="000000"/>
          <w:szCs w:val="21"/>
        </w:rPr>
        <w:t>)博士撰写。</w:t>
      </w:r>
    </w:p>
    <w:p w14:paraId="48351BF1">
      <w:pPr>
        <w:rPr>
          <w:color w:val="000000"/>
          <w:szCs w:val="21"/>
        </w:rPr>
      </w:pPr>
    </w:p>
    <w:p w14:paraId="387DCF3B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穆克吉博士曾收到多位英国版权代理方的合作邀约，而在法兰克福书展前的周五，他决定与我们（RML）签约，这令我们欣喜万分。我们坚信《大脑游戏》具备成为国际畅销巨作的潜质，这位神经外科医生兼神经科学首席研究员早已享誉全球，而在本书中，他将临床经验、脑科学前沿技术、医学实验室最新发现完美融合。</w:t>
      </w:r>
    </w:p>
    <w:p w14:paraId="4D83ECBD">
      <w:pPr>
        <w:rPr>
          <w:color w:val="000000"/>
          <w:szCs w:val="21"/>
        </w:rPr>
      </w:pPr>
    </w:p>
    <w:p w14:paraId="591DF47D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于与穆克吉博士签约时临近书展，本书未能及时收录至秋季目录，但在书展期间外方积极推介此书，《大脑游戏》成为25年法兰克福书展咨询量最高的非虚构作品之一，全世界的编辑们作客我们的展台，竞相争抢阅读样章的优先权。</w:t>
      </w:r>
    </w:p>
    <w:p w14:paraId="6D39337A">
      <w:pPr>
        <w:rPr>
          <w:color w:val="000000"/>
          <w:szCs w:val="21"/>
        </w:rPr>
      </w:pPr>
    </w:p>
    <w:p w14:paraId="4678C7E1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穆克吉博士已完成全稿，初稿约7.8万词，为方便审阅，我们特编辑4万词精简版本。我们已经接连拒绝多个来自英美出版社的pre-empt请求，而待英美版权交易落定后，苏米亚预计可在年底前交付修订全稿。</w:t>
      </w:r>
    </w:p>
    <w:p w14:paraId="072441BC">
      <w:pPr>
        <w:rPr>
          <w:color w:val="000000"/>
          <w:szCs w:val="21"/>
        </w:rPr>
      </w:pPr>
    </w:p>
    <w:p w14:paraId="0B1D2002">
      <w:pPr>
        <w:rPr>
          <w:color w:val="000000"/>
          <w:szCs w:val="21"/>
        </w:rPr>
      </w:pPr>
    </w:p>
    <w:p w14:paraId="75CA8DE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【多写两句】</w:t>
      </w:r>
    </w:p>
    <w:p w14:paraId="71E3EDFD">
      <w:pPr>
        <w:rPr>
          <w:rFonts w:hint="eastAsia"/>
          <w:color w:val="000000"/>
          <w:szCs w:val="21"/>
        </w:rPr>
      </w:pPr>
    </w:p>
    <w:p w14:paraId="7A39F80B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大脑游戏》篇幅约8万字，将科学理论与纪实相交织，揭示日常如何塑造我们最珍贵的器官——大脑的健康、韧性与潜能。秉承《为什么我们要睡觉》《身体从未忘记》等畅销书的传统，本书面向广大读者，阐释脑健康并非禁锢于实验室或医院，而是蕴含在我们关于运动、呼吸、饮食、睡眠、听觉、卫生、人际联结的每日决策中。</w:t>
      </w:r>
    </w:p>
    <w:p w14:paraId="1CEDAEFE">
      <w:pPr>
        <w:rPr>
          <w:color w:val="000000"/>
          <w:szCs w:val="21"/>
        </w:rPr>
      </w:pPr>
    </w:p>
    <w:p w14:paraId="655EF67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本书核心在于</w:t>
      </w:r>
      <w:r>
        <w:rPr>
          <w:rFonts w:hint="eastAsia"/>
          <w:b/>
          <w:bCs/>
          <w:color w:val="000000"/>
          <w:szCs w:val="21"/>
        </w:rPr>
        <w:t>将脑科学重构为一场“游戏”</w:t>
      </w:r>
      <w:r>
        <w:rPr>
          <w:rFonts w:hint="eastAsia"/>
          <w:color w:val="000000"/>
          <w:szCs w:val="21"/>
        </w:rPr>
        <w:t>——每个人都参与其中。每章探索一个出乎意料的生活领域，在此游戏规则清晰显现：从预防失智的刷牙技巧，到体态、肌肤与腰围如何反映认知活力；从舞蹈为何增强记忆，到助听器如何延缓衰退。真实患者故事、手术室戏剧瞬间、历史洞见与最新神经科学成果交织成引人入胜的叙事，令脑健康变得切身、实用且紧迫——这一切都将由一位与人类大脑相伴二十年的神经外科医生娓娓道来。</w:t>
      </w:r>
    </w:p>
    <w:p w14:paraId="0721921E">
      <w:pPr>
        <w:rPr>
          <w:color w:val="000000"/>
          <w:szCs w:val="21"/>
        </w:rPr>
      </w:pPr>
    </w:p>
    <w:p w14:paraId="2DEF3170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书既警示了脑震荡、睡眠不足、听力损失如何悄然损害认知，也提供赋能策略，帮助读者重掌脑健康主导权。作者将科学解释转化为生动比喻与可操作方案，使复杂生物学知识既易记忆又能切实激发行动。每章结尾附明确要点，鼓励读者做出微小而可行的改变，收获长期健康红利。</w:t>
      </w:r>
    </w:p>
    <w:p w14:paraId="4C48536E">
      <w:pPr>
        <w:rPr>
          <w:color w:val="000000"/>
          <w:szCs w:val="21"/>
        </w:rPr>
      </w:pPr>
    </w:p>
    <w:p w14:paraId="0DB57037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大脑游戏》它揭示大脑衰退并非必然，预防的重要性远胜治疗，而最前沿的神经科学往往回归简单日常实践。这是一部关于“能动性”的著作：保护专注力、记忆力与思维活力的能动性；赢取颅内终极游戏的能动性。</w:t>
      </w:r>
    </w:p>
    <w:p w14:paraId="049EABE0">
      <w:pPr>
        <w:rPr>
          <w:color w:val="000000"/>
          <w:szCs w:val="21"/>
        </w:rPr>
      </w:pPr>
    </w:p>
    <w:p w14:paraId="5634653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出版价值</w:t>
      </w:r>
    </w:p>
    <w:p w14:paraId="331B318A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首部大众脑健康全景指南：</w:t>
      </w:r>
      <w:r>
        <w:rPr>
          <w:rFonts w:hint="eastAsia"/>
          <w:color w:val="000000"/>
          <w:szCs w:val="21"/>
        </w:rPr>
        <w:t>突破睡眠、饮食或习惯等单一主题的局限，整合大脑健康全生态系统于一册实用指南。</w:t>
      </w:r>
    </w:p>
    <w:p w14:paraId="35485712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开创“神经三重奏”框架：</w:t>
      </w:r>
      <w:r>
        <w:rPr>
          <w:rFonts w:hint="eastAsia"/>
          <w:color w:val="000000"/>
          <w:szCs w:val="21"/>
        </w:rPr>
        <w:t>解锁大脑防护、成长与重塑机制，首度提供读者理解大脑演化及提升终生脑健康的独特模型。</w:t>
      </w:r>
    </w:p>
    <w:p w14:paraId="33412282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独家行业洞察：</w:t>
      </w:r>
      <w:r>
        <w:rPr>
          <w:rFonts w:hint="eastAsia"/>
          <w:color w:val="000000"/>
          <w:szCs w:val="21"/>
        </w:rPr>
        <w:t>融汇二十年神经外科经验、真实患者案例、媒体访谈及重磅对话，以启发性且具象化的方式诠释脑保健。</w:t>
      </w:r>
    </w:p>
    <w:p w14:paraId="64D5AE50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可实践的科学转化：</w:t>
      </w:r>
      <w:r>
        <w:rPr>
          <w:rFonts w:hint="eastAsia"/>
          <w:color w:val="000000"/>
          <w:szCs w:val="21"/>
        </w:rPr>
        <w:t>每章将医学与研究前沿转化为亲切比喻及简易行动（如咀嚼口香糖、使用牙线、鼻呼吸），人人皆可践行。</w:t>
      </w:r>
    </w:p>
    <w:p w14:paraId="748D3223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大众吸引力与专业公信力并存：</w:t>
      </w:r>
      <w:r>
        <w:rPr>
          <w:rFonts w:hint="eastAsia"/>
          <w:color w:val="000000"/>
          <w:szCs w:val="21"/>
        </w:rPr>
        <w:t>全书平衡通俗有趣的流行文化表达（如章节标题“身姿如贾格尔，思维似爱因斯坦”）与严谨的医学基础及动人的患者故事。</w:t>
      </w:r>
    </w:p>
    <w:p w14:paraId="67C96B50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前瞻性视野：</w:t>
      </w:r>
      <w:r>
        <w:rPr>
          <w:rFonts w:hint="eastAsia"/>
          <w:color w:val="000000"/>
          <w:szCs w:val="21"/>
        </w:rPr>
        <w:t>首创“智能力”概念——人类真实智能与人工智能的融合，引导读者为未来认知前沿做好准备。</w:t>
      </w:r>
    </w:p>
    <w:p w14:paraId="3526CCFB">
      <w:pPr>
        <w:rPr>
          <w:color w:val="000000"/>
          <w:szCs w:val="21"/>
        </w:rPr>
      </w:pPr>
    </w:p>
    <w:p w14:paraId="2C9288C2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作者权威性</w:t>
      </w:r>
    </w:p>
    <w:p w14:paraId="0C955093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临床与研究双重视野：</w:t>
      </w:r>
      <w:r>
        <w:rPr>
          <w:rFonts w:hint="eastAsia"/>
          <w:color w:val="000000"/>
          <w:szCs w:val="21"/>
        </w:rPr>
        <w:t>作为拥有20年脑部手术、治疗与研究经验的神经外科医生，受训于牛津、哈佛、剑桥、帝国理工及埃默里大学，亲历人类大脑的诸多辉煌与危殆时刻，致力于将前沿神经科学应用于日常生活，对此矢志不渝。</w:t>
      </w:r>
    </w:p>
    <w:p w14:paraId="5740BF90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个人转型历程：</w:t>
      </w:r>
      <w:r>
        <w:rPr>
          <w:rFonts w:hint="eastAsia"/>
          <w:color w:val="000000"/>
          <w:szCs w:val="21"/>
        </w:rPr>
        <w:t>十年艰苦的培训期间，频深夜班、慢性睡眠剥夺、饮食失衡、持续压力，治愈他人大脑的同时，作者自身大脑则悄然受损。通过重掌脑健康，其精力、情绪与思维清晰度获得蜕变，激励其分享所学。</w:t>
      </w:r>
    </w:p>
    <w:p w14:paraId="6A01DEF0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专业辅导经验：</w:t>
      </w:r>
      <w:r>
        <w:rPr>
          <w:rFonts w:hint="eastAsia"/>
          <w:color w:val="000000"/>
          <w:szCs w:val="21"/>
        </w:rPr>
        <w:t>除临床实践外，也为面临倦怠、康复及认知巅峰挑战的人群提供脑健康与认知长寿辅导，据此凝练出普适性策略。</w:t>
      </w:r>
    </w:p>
    <w:p w14:paraId="64D27F0B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获奖科普专家：</w:t>
      </w:r>
      <w:r>
        <w:rPr>
          <w:rFonts w:hint="eastAsia"/>
          <w:color w:val="000000"/>
          <w:szCs w:val="21"/>
        </w:rPr>
        <w:t>参与制作BBC与第五频道多部黄金时段纪录片，将脑科学传递至数百万观众。</w:t>
      </w:r>
    </w:p>
    <w:p w14:paraId="375B62D6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• 跨界叙事能力：</w:t>
      </w:r>
      <w:r>
        <w:rPr>
          <w:rFonts w:hint="eastAsia"/>
          <w:color w:val="000000"/>
          <w:szCs w:val="21"/>
        </w:rPr>
        <w:t>融合高风险手术、神经科学研究、辅导实践及媒体化叙事，致力于将复杂脑科学转化为激励、赋能普通读者的实用策略——连接手术室与日常生活，正是《大脑游戏》的核心使命。</w:t>
      </w:r>
    </w:p>
    <w:p w14:paraId="2F7C4D4E">
      <w:pPr>
        <w:rPr>
          <w:rFonts w:hint="eastAsia"/>
          <w:color w:val="000000"/>
          <w:szCs w:val="21"/>
        </w:rPr>
      </w:pPr>
    </w:p>
    <w:p w14:paraId="30E39A00">
      <w:pPr>
        <w:rPr>
          <w:color w:val="000000"/>
          <w:szCs w:val="21"/>
        </w:rPr>
      </w:pPr>
    </w:p>
    <w:p w14:paraId="40D1175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A1FA7D7">
      <w:pPr>
        <w:rPr>
          <w:rFonts w:hint="eastAsia"/>
          <w:color w:val="000000"/>
          <w:szCs w:val="21"/>
        </w:rPr>
      </w:pPr>
    </w:p>
    <w:p w14:paraId="2EC30F9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163955" cy="1451610"/>
            <wp:effectExtent l="0" t="0" r="0" b="0"/>
            <wp:wrapSquare wrapText="bothSides"/>
            <wp:docPr id="758922521" name="图片 2" descr="穿西装的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22521" name="图片 2" descr="穿西装的男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苏米亚·穆克吉博士</w:t>
      </w:r>
      <w:r>
        <w:rPr>
          <w:rFonts w:hint="eastAsia"/>
          <w:b/>
          <w:bCs/>
          <w:color w:val="000000"/>
          <w:szCs w:val="21"/>
        </w:rPr>
        <w:t>(</w:t>
      </w:r>
      <w:r>
        <w:rPr>
          <w:b/>
          <w:bCs/>
          <w:color w:val="000000"/>
          <w:szCs w:val="21"/>
        </w:rPr>
        <w:t>Soumya Mukherjee</w:t>
      </w:r>
      <w:r>
        <w:rPr>
          <w:rFonts w:hint="eastAsia"/>
          <w:b/>
          <w:bCs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首席神经外科医生，拥有20年脑部手术与神经科学研究经验。他现任剑桥大学神经解剖学导师，曾在牛津大学、哈佛大学及伦敦帝国理工学院深造并开展研究。作为脑健康与认知表现培训师，他参与制作多部BBC和第五频道纪录片</w:t>
      </w:r>
      <w:r>
        <w:rPr>
          <w:rFonts w:hint="eastAsia"/>
          <w:color w:val="000000"/>
          <w:szCs w:val="21"/>
        </w:rPr>
        <w:t>并</w:t>
      </w:r>
      <w:r>
        <w:rPr>
          <w:color w:val="000000"/>
          <w:szCs w:val="21"/>
        </w:rPr>
        <w:t>屡获殊荣——包括《生死一小时》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An Hour To Save Your Life</w:t>
      </w:r>
      <w:r>
        <w:rPr>
          <w:rFonts w:hint="eastAsia"/>
          <w:color w:val="000000"/>
          <w:szCs w:val="21"/>
        </w:rPr>
        <w:t>）、</w:t>
      </w:r>
      <w:r>
        <w:rPr>
          <w:color w:val="000000"/>
          <w:szCs w:val="21"/>
        </w:rPr>
        <w:t>《外科医生：生命边缘》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Surgeons: At The Edge Of Life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和《急诊室：车祸现场》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A&amp;E: Crash Scene Emergency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——将复杂的脑科学知识转化为大众能理解的生动内容。他常驻剑桥，每周在伦敦工作两日，并定期往返美国及全球各地。</w:t>
      </w:r>
    </w:p>
    <w:p w14:paraId="20B7BFBD">
      <w:pPr>
        <w:rPr>
          <w:color w:val="000000"/>
          <w:szCs w:val="21"/>
        </w:rPr>
      </w:pPr>
    </w:p>
    <w:p w14:paraId="0C3A15D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穆克吉博士致力于推动全球脑健康事业发展，将深奥的脑科学转化为启发性策略与动人故事</w:t>
      </w:r>
      <w:r>
        <w:rPr>
          <w:rFonts w:hint="eastAsia"/>
          <w:color w:val="000000"/>
          <w:szCs w:val="21"/>
        </w:rPr>
        <w:t>。作者与RML</w:t>
      </w:r>
      <w:r>
        <w:rPr>
          <w:color w:val="000000"/>
          <w:szCs w:val="21"/>
        </w:rPr>
        <w:t>计划</w:t>
      </w:r>
      <w:r>
        <w:rPr>
          <w:rFonts w:hint="eastAsia"/>
          <w:color w:val="000000"/>
          <w:szCs w:val="21"/>
        </w:rPr>
        <w:t>以《大脑游戏》为起点，</w:t>
      </w:r>
      <w:r>
        <w:rPr>
          <w:color w:val="000000"/>
          <w:szCs w:val="21"/>
        </w:rPr>
        <w:t>打造多媒体品牌首发之作，未来将拓展电视节目、播客、应用程序及系列实用书籍——例如针对家长、长者、青少年群体，或专注失智症、心理疾病等特定领域的专题读物。</w:t>
      </w:r>
    </w:p>
    <w:p w14:paraId="56BE8EC9">
      <w:pPr>
        <w:rPr>
          <w:rFonts w:hint="eastAsia"/>
          <w:color w:val="000000"/>
          <w:szCs w:val="21"/>
        </w:rPr>
      </w:pPr>
    </w:p>
    <w:p w14:paraId="2B65520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作为《医生的抉择》</w:t>
      </w:r>
      <w:r>
        <w:rPr>
          <w:rFonts w:hint="eastAsia"/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Do No Harm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作者亨利·马什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Henry Marsh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的嫡传弟子，穆克吉博士已获得众多权威人士的推荐支持。</w:t>
      </w:r>
    </w:p>
    <w:p w14:paraId="40D11767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40D11768">
      <w:pPr>
        <w:rPr>
          <w:b/>
          <w:color w:val="000000"/>
        </w:rPr>
      </w:pPr>
    </w:p>
    <w:p w14:paraId="40D11769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0D1176A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0D1176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40D1176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0D1176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0D1176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0D1176F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0D1177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0D1177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40D1177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0D1177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0D1177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0D1177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0D1177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11777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177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0D1177D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0D1177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0D1177F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0D11780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177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D1177B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A6239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43BE"/>
    <w:rsid w:val="000D5F8D"/>
    <w:rsid w:val="001017C7"/>
    <w:rsid w:val="00102500"/>
    <w:rsid w:val="00103FBA"/>
    <w:rsid w:val="00110260"/>
    <w:rsid w:val="0011264B"/>
    <w:rsid w:val="00121268"/>
    <w:rsid w:val="001270AC"/>
    <w:rsid w:val="00132921"/>
    <w:rsid w:val="00133C63"/>
    <w:rsid w:val="00134987"/>
    <w:rsid w:val="00146F1E"/>
    <w:rsid w:val="00163F80"/>
    <w:rsid w:val="00167007"/>
    <w:rsid w:val="0017362C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03FF"/>
    <w:rsid w:val="00215BF8"/>
    <w:rsid w:val="002243E8"/>
    <w:rsid w:val="00236060"/>
    <w:rsid w:val="00244604"/>
    <w:rsid w:val="00244F8F"/>
    <w:rsid w:val="002516C3"/>
    <w:rsid w:val="002523C1"/>
    <w:rsid w:val="002566CD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2F74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37FE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325C"/>
    <w:rsid w:val="004C4664"/>
    <w:rsid w:val="004D5ADA"/>
    <w:rsid w:val="004E5C9C"/>
    <w:rsid w:val="004F6FDA"/>
    <w:rsid w:val="0050106B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7666"/>
    <w:rsid w:val="005B2CF5"/>
    <w:rsid w:val="005B444D"/>
    <w:rsid w:val="005C244E"/>
    <w:rsid w:val="005C27DC"/>
    <w:rsid w:val="005D167F"/>
    <w:rsid w:val="005D3FD9"/>
    <w:rsid w:val="005D4A68"/>
    <w:rsid w:val="005D5454"/>
    <w:rsid w:val="005D6799"/>
    <w:rsid w:val="005D743E"/>
    <w:rsid w:val="005E31E5"/>
    <w:rsid w:val="005F2EC6"/>
    <w:rsid w:val="005F4D4D"/>
    <w:rsid w:val="005F5420"/>
    <w:rsid w:val="00616A0F"/>
    <w:rsid w:val="006176AA"/>
    <w:rsid w:val="00630208"/>
    <w:rsid w:val="00655FA9"/>
    <w:rsid w:val="00656106"/>
    <w:rsid w:val="00665260"/>
    <w:rsid w:val="006656BA"/>
    <w:rsid w:val="00667C85"/>
    <w:rsid w:val="00677715"/>
    <w:rsid w:val="00680EFB"/>
    <w:rsid w:val="006B6CAB"/>
    <w:rsid w:val="006D37ED"/>
    <w:rsid w:val="006E2E2E"/>
    <w:rsid w:val="006F08AF"/>
    <w:rsid w:val="0070099B"/>
    <w:rsid w:val="007078E0"/>
    <w:rsid w:val="00715F9D"/>
    <w:rsid w:val="00734979"/>
    <w:rsid w:val="007419C0"/>
    <w:rsid w:val="00747520"/>
    <w:rsid w:val="0075196D"/>
    <w:rsid w:val="00752599"/>
    <w:rsid w:val="00766EBF"/>
    <w:rsid w:val="00770978"/>
    <w:rsid w:val="00792AB2"/>
    <w:rsid w:val="007962CA"/>
    <w:rsid w:val="007A513F"/>
    <w:rsid w:val="007A5AA6"/>
    <w:rsid w:val="007B5222"/>
    <w:rsid w:val="007B6993"/>
    <w:rsid w:val="007B70B8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1B8F"/>
    <w:rsid w:val="007F652C"/>
    <w:rsid w:val="00805ED5"/>
    <w:rsid w:val="008129CA"/>
    <w:rsid w:val="0081387B"/>
    <w:rsid w:val="00816558"/>
    <w:rsid w:val="00817C28"/>
    <w:rsid w:val="00847D28"/>
    <w:rsid w:val="00874F83"/>
    <w:rsid w:val="008833DC"/>
    <w:rsid w:val="00895CB6"/>
    <w:rsid w:val="008A6811"/>
    <w:rsid w:val="008A7AE7"/>
    <w:rsid w:val="008B68CF"/>
    <w:rsid w:val="008C0420"/>
    <w:rsid w:val="008C4BCC"/>
    <w:rsid w:val="008D07F2"/>
    <w:rsid w:val="008D278C"/>
    <w:rsid w:val="008D4F84"/>
    <w:rsid w:val="008D7677"/>
    <w:rsid w:val="008E1206"/>
    <w:rsid w:val="008E3B08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0DA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637A"/>
    <w:rsid w:val="00A23037"/>
    <w:rsid w:val="00A45A3D"/>
    <w:rsid w:val="00A54A8E"/>
    <w:rsid w:val="00A71EAE"/>
    <w:rsid w:val="00A866EC"/>
    <w:rsid w:val="00A90D6D"/>
    <w:rsid w:val="00A90FC8"/>
    <w:rsid w:val="00A91D49"/>
    <w:rsid w:val="00A92295"/>
    <w:rsid w:val="00AB060D"/>
    <w:rsid w:val="00AB7588"/>
    <w:rsid w:val="00AB762B"/>
    <w:rsid w:val="00AC7610"/>
    <w:rsid w:val="00AD1193"/>
    <w:rsid w:val="00AD23A3"/>
    <w:rsid w:val="00AF0671"/>
    <w:rsid w:val="00AF3D5F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7C33"/>
    <w:rsid w:val="00C01700"/>
    <w:rsid w:val="00C061D1"/>
    <w:rsid w:val="00C117A9"/>
    <w:rsid w:val="00C1399B"/>
    <w:rsid w:val="00C16D2E"/>
    <w:rsid w:val="00C308BC"/>
    <w:rsid w:val="00C3381D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1E7D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08D7"/>
    <w:rsid w:val="00DB3297"/>
    <w:rsid w:val="00DB7D8F"/>
    <w:rsid w:val="00DC4FFC"/>
    <w:rsid w:val="00DF0BB7"/>
    <w:rsid w:val="00DF0D60"/>
    <w:rsid w:val="00DF70CE"/>
    <w:rsid w:val="00E00CC0"/>
    <w:rsid w:val="00E132E9"/>
    <w:rsid w:val="00E13847"/>
    <w:rsid w:val="00E15659"/>
    <w:rsid w:val="00E2239F"/>
    <w:rsid w:val="00E30A85"/>
    <w:rsid w:val="00E43598"/>
    <w:rsid w:val="00E509A5"/>
    <w:rsid w:val="00E54E5E"/>
    <w:rsid w:val="00E557C1"/>
    <w:rsid w:val="00E65115"/>
    <w:rsid w:val="00E67F20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6BDE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635</Words>
  <Characters>3626</Characters>
  <Lines>30</Lines>
  <Paragraphs>8</Paragraphs>
  <TotalTime>50</TotalTime>
  <ScaleCrop>false</ScaleCrop>
  <LinksUpToDate>false</LinksUpToDate>
  <CharactersWithSpaces>4253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2025-11-05T07:15:54Z</dcterms:modified>
  <dc:title>新 书 推 荐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eyJoZGlkIjoiYTQyYTEzZDhjM2ZlYzliNDQxMzU0ZWUxZTEyNjI2YWUiLCJ1c2VySWQiOiI0NTk2MDE5NzIifQ==</vt:lpwstr>
  </property>
</Properties>
</file>