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194945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1-29 103636.png屏幕截图 2025-11-29 10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29 103636.png屏幕截图 2025-11-29 103636"/>
                    <pic:cNvPicPr>
                      <a:picLocks noChangeAspect="1"/>
                    </pic:cNvPicPr>
                  </pic:nvPicPr>
                  <pic:blipFill>
                    <a:blip r:embed="rId6"/>
                    <a:srcRect t="1497" b="149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《请勿说谎</w:t>
      </w:r>
      <w:bookmarkStart w:id="1" w:name="_GoBack"/>
      <w:bookmarkEnd w:id="1"/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Please Don't Lie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Thriller (Crystal River)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Christina Baker Kline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 and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 Anne Burt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Thomas &amp; Mercer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268</w:t>
      </w:r>
      <w:r>
        <w:rPr>
          <w:rFonts w:hint="eastAsia"/>
          <w:b/>
          <w:bCs/>
          <w:color w:val="000000"/>
          <w:szCs w:val="21"/>
          <w:highlight w:val="none"/>
        </w:rPr>
        <w:t>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9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1F50AF4E">
      <w:pPr>
        <w:tabs>
          <w:tab w:val="left" w:pos="341"/>
          <w:tab w:val="left" w:pos="5235"/>
        </w:tabs>
        <w:rPr>
          <w:rFonts w:hint="default" w:ascii="Times New Roman" w:hAnsi="Times New Roman" w:cs="Times New Roman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  <w:highlight w:val="none"/>
          <w:lang w:val="en-US" w:eastAsia="zh-CN"/>
        </w:rPr>
        <w:t xml:space="preserve">Best Sellers Rank: </w:t>
      </w:r>
    </w:p>
    <w:p w14:paraId="1EFB2139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#120 in Psychological Thrillers (Books)</w:t>
      </w:r>
    </w:p>
    <w:p w14:paraId="3094D38F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#148 in Suspense Thrillers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7B6B82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在这部由《纽约时报》畅销书作家克里斯蒂娜·贝克·克兰与获奖作家安妮·伯特联袂打造的悬疑力作中，年轻女子与新婚丈夫前往阿迪朗达克山脉寻求新生——但往事如影随形。</w:t>
      </w:r>
    </w:p>
    <w:p w14:paraId="6C276B3F">
      <w:pPr>
        <w:rPr>
          <w:rFonts w:hint="eastAsia"/>
          <w:bCs/>
          <w:kern w:val="0"/>
          <w:szCs w:val="21"/>
        </w:rPr>
      </w:pPr>
    </w:p>
    <w:p w14:paraId="2A9F2C1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两年前，海莉·斯通失去了一切。父母葬身火海，姐姐用药过量身亡，独留她一人被将家庭悲剧炒作成小报头条的媒体围猎。当新婚丈夫提议迁居阿迪朗达克山脉时，这座与世隔绝的山城仿佛成了救赎之地。</w:t>
      </w:r>
    </w:p>
    <w:p w14:paraId="64333AD2">
      <w:pPr>
        <w:rPr>
          <w:rFonts w:hint="eastAsia"/>
          <w:bCs/>
          <w:kern w:val="0"/>
          <w:szCs w:val="21"/>
        </w:rPr>
      </w:pPr>
    </w:p>
    <w:p w14:paraId="539FDC5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然而群山掩藏着超乎想象的黑暗秘密。</w:t>
      </w:r>
    </w:p>
    <w:p w14:paraId="36CA04AA">
      <w:pPr>
        <w:rPr>
          <w:rFonts w:hint="eastAsia"/>
          <w:bCs/>
          <w:kern w:val="0"/>
          <w:szCs w:val="21"/>
        </w:rPr>
      </w:pPr>
    </w:p>
    <w:p w14:paraId="2637D28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曾经温柔的丈夫变得疏离易怒，邻街寡妇不断发出晦涩指控，就连新结识的洒脱邻居夫妇也无法驱散海莉心中蔓延的不安。</w:t>
      </w:r>
    </w:p>
    <w:p w14:paraId="66EA0D3A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随着寒冬逼近，海莉发现这片避风港危机四伏。在孤绝困境中，她直面骇人真相：为逃避过往，自己可能正坠入更危险的深渊。</w:t>
      </w:r>
    </w:p>
    <w:p w14:paraId="2F26586F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0CDD046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克里斯蒂娜·贝克·克兰（</w:t>
      </w:r>
      <w:r>
        <w:rPr>
          <w:rFonts w:hint="eastAsia"/>
          <w:b/>
          <w:bCs/>
          <w:color w:val="000000"/>
          <w:szCs w:val="21"/>
          <w:highlight w:val="none"/>
        </w:rPr>
        <w:t>Christina Baker Kline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是八部《纽约时报》畅销小说作者，包括《流放者》《孤儿列车》《世界一隅》，曾获新英格兰小说奖、缅因文学奖及巴诺发现奖。另著有五部非虚构作品，《请勿欺骗》是其悬疑题材首秀。</w:t>
      </w:r>
    </w:p>
    <w:p w14:paraId="7674D020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安妮·伯特（</w:t>
      </w:r>
      <w:r>
        <w:rPr>
          <w:rFonts w:hint="eastAsia"/>
          <w:b/>
          <w:bCs/>
          <w:color w:val="000000"/>
          <w:szCs w:val="21"/>
          <w:highlight w:val="none"/>
        </w:rPr>
        <w:t>Anne Burt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处女作《挖掘》入选美国书商协会独立选择奖，获斯特兰德书店2023春季悬疑类选书，位列独立读者网2024夏季"惊悚阅读组"榜首。她也是非虚构作家与编辑，曾获《子午线》文学杂志小说编辑奖。</w:t>
      </w:r>
    </w:p>
    <w:p w14:paraId="6DAABE61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7BA0FAD2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"克兰与伯特以阴森小镇、诡秘角色和难以预料的骗局将悬疑推向新高度。锁紧门窗裹好毛毯——你将手不释卷直至终章。"</w:t>
      </w:r>
    </w:p>
    <w:p w14:paraId="6EED0505">
      <w:pPr>
        <w:ind w:right="420" w:firstLine="420" w:firstLineChars="20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——玛丽·库比卡</w:t>
      </w:r>
    </w:p>
    <w:p w14:paraId="74F5A0C2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E81A612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"心理刻画深刻入骨，情节蜿蜒令人战栗。这部应时之作让你质疑至亲之人，反思脆弱时刻人类多易沦为欺骗与操纵的猎物。"</w:t>
      </w:r>
    </w:p>
    <w:p w14:paraId="3586EA9D">
      <w:pPr>
        <w:ind w:right="420" w:firstLine="420" w:firstLineChars="20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——梅根·阿伯特</w:t>
      </w:r>
    </w:p>
    <w:p w14:paraId="3F450307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31962B1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"曲折叙事中，新婚海莉与丈夫迁居阿迪朗达克的田园生活急转直下，揭开婚姻与悲惨过往的隐秘真相。令人屏息的阅读体验直至惊人终章！"</w:t>
      </w:r>
    </w:p>
    <w:p w14:paraId="4E554BC1">
      <w:pPr>
        <w:ind w:right="420" w:firstLine="420" w:firstLineChars="200"/>
        <w:jc w:val="righ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——丽莎·斯科托莱恩</w:t>
      </w: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4C69FD5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72B394E"/>
    <w:rsid w:val="0A8F3F31"/>
    <w:rsid w:val="0AC20A24"/>
    <w:rsid w:val="0AEC0364"/>
    <w:rsid w:val="0C0008F4"/>
    <w:rsid w:val="0C3C7AF6"/>
    <w:rsid w:val="0E6A6913"/>
    <w:rsid w:val="139E14CB"/>
    <w:rsid w:val="18AE01D8"/>
    <w:rsid w:val="1BA86C22"/>
    <w:rsid w:val="24771887"/>
    <w:rsid w:val="2C0B6F0E"/>
    <w:rsid w:val="2C6B05E5"/>
    <w:rsid w:val="2DA34CE1"/>
    <w:rsid w:val="311566B0"/>
    <w:rsid w:val="328A51AB"/>
    <w:rsid w:val="3AE04ADC"/>
    <w:rsid w:val="3C1934F8"/>
    <w:rsid w:val="42B533F0"/>
    <w:rsid w:val="432C279F"/>
    <w:rsid w:val="459C0CF6"/>
    <w:rsid w:val="46B43896"/>
    <w:rsid w:val="47E75ED3"/>
    <w:rsid w:val="4E6D4FA6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952</Words>
  <Characters>1370</Characters>
  <Lines>25</Lines>
  <Paragraphs>7</Paragraphs>
  <TotalTime>5</TotalTime>
  <ScaleCrop>false</ScaleCrop>
  <LinksUpToDate>false</LinksUpToDate>
  <CharactersWithSpaces>1414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2025-12-03T02:01:06Z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