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39" w:rsidRDefault="00E31E3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31E39" w:rsidRDefault="00746AA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31E39" w:rsidRDefault="00E31E3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31E39" w:rsidRDefault="00E31E39">
      <w:pPr>
        <w:rPr>
          <w:b/>
          <w:color w:val="000000"/>
          <w:szCs w:val="21"/>
        </w:rPr>
      </w:pPr>
    </w:p>
    <w:p w:rsidR="00E31E39" w:rsidRDefault="00ED4B78">
      <w:pPr>
        <w:rPr>
          <w:b/>
          <w:color w:val="000000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91440</wp:posOffset>
            </wp:positionV>
            <wp:extent cx="1217930" cy="1872615"/>
            <wp:effectExtent l="0" t="0" r="1270" b="13335"/>
            <wp:wrapTight wrapText="bothSides">
              <wp:wrapPolygon edited="0">
                <wp:start x="0" y="0"/>
                <wp:lineTo x="0" y="21314"/>
                <wp:lineTo x="21285" y="21314"/>
                <wp:lineTo x="21285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46AAE">
        <w:rPr>
          <w:b/>
          <w:color w:val="000000"/>
          <w:szCs w:val="21"/>
        </w:rPr>
        <w:t>中文书名：</w:t>
      </w:r>
      <w:r w:rsidR="00746AAE">
        <w:rPr>
          <w:rFonts w:hint="eastAsia"/>
          <w:b/>
          <w:color w:val="000000"/>
          <w:szCs w:val="21"/>
        </w:rPr>
        <w:t>《新伊甸园：</w:t>
      </w:r>
      <w:r w:rsidR="00602BE7">
        <w:rPr>
          <w:rFonts w:hint="eastAsia"/>
          <w:b/>
          <w:color w:val="000000"/>
          <w:szCs w:val="21"/>
        </w:rPr>
        <w:t>探寻城市中的野生动物，以及我们共同的家园</w:t>
      </w:r>
      <w:bookmarkStart w:id="0" w:name="_GoBack"/>
      <w:bookmarkEnd w:id="0"/>
      <w:r w:rsidR="00746AAE">
        <w:rPr>
          <w:rFonts w:hint="eastAsia"/>
          <w:b/>
          <w:color w:val="000000"/>
          <w:szCs w:val="21"/>
        </w:rPr>
        <w:t>》</w:t>
      </w:r>
    </w:p>
    <w:p w:rsidR="00E31E39" w:rsidRDefault="00746AA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</w:t>
      </w:r>
      <w:r w:rsidR="000610C9">
        <w:rPr>
          <w:b/>
          <w:bCs/>
          <w:color w:val="000000"/>
          <w:szCs w:val="21"/>
        </w:rPr>
        <w:t>HE NEW EDEN</w:t>
      </w:r>
      <w:r w:rsidR="007C38D8">
        <w:rPr>
          <w:rFonts w:hint="eastAsia"/>
          <w:b/>
          <w:bCs/>
          <w:color w:val="000000"/>
          <w:szCs w:val="21"/>
        </w:rPr>
        <w:t>:</w:t>
      </w:r>
      <w:r w:rsidR="007C38D8">
        <w:rPr>
          <w:b/>
          <w:bCs/>
          <w:color w:val="000000"/>
          <w:szCs w:val="21"/>
        </w:rPr>
        <w:t xml:space="preserve"> </w:t>
      </w:r>
      <w:r w:rsidR="009871D4" w:rsidRPr="009871D4">
        <w:rPr>
          <w:b/>
          <w:bCs/>
          <w:color w:val="000000"/>
          <w:szCs w:val="21"/>
        </w:rPr>
        <w:t>Wildlife in the city, and discovering our shared home</w:t>
      </w:r>
    </w:p>
    <w:p w:rsidR="00E31E39" w:rsidRDefault="00746AA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JC </w:t>
      </w:r>
      <w:proofErr w:type="spellStart"/>
      <w:r>
        <w:rPr>
          <w:b/>
          <w:bCs/>
          <w:color w:val="000000"/>
          <w:szCs w:val="21"/>
        </w:rPr>
        <w:t>Niala</w:t>
      </w:r>
      <w:proofErr w:type="spellEnd"/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>
        <w:rPr>
          <w:b/>
          <w:bCs/>
          <w:color w:val="000000" w:themeColor="text1"/>
          <w:kern w:val="0"/>
          <w:szCs w:val="21"/>
        </w:rPr>
        <w:t>Gaia, Hachette</w:t>
      </w:r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b/>
          <w:bCs/>
          <w:kern w:val="0"/>
          <w:szCs w:val="21"/>
        </w:rPr>
        <w:t>Portobello/ANA/</w:t>
      </w:r>
      <w:r w:rsidR="000C39A1">
        <w:rPr>
          <w:b/>
          <w:bCs/>
          <w:kern w:val="0"/>
          <w:szCs w:val="21"/>
        </w:rPr>
        <w:t>J</w:t>
      </w:r>
      <w:r w:rsidR="000C39A1">
        <w:rPr>
          <w:rFonts w:hint="eastAsia"/>
          <w:b/>
          <w:bCs/>
          <w:kern w:val="0"/>
          <w:szCs w:val="21"/>
        </w:rPr>
        <w:t>ac</w:t>
      </w:r>
      <w:r w:rsidR="000C39A1">
        <w:rPr>
          <w:b/>
          <w:bCs/>
          <w:kern w:val="0"/>
          <w:szCs w:val="21"/>
        </w:rPr>
        <w:t>kie</w:t>
      </w:r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>
        <w:rPr>
          <w:rFonts w:ascii="宋体" w:hAnsi="宋体" w:hint="eastAsia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</w:rPr>
        <w:t>288</w:t>
      </w:r>
      <w:r>
        <w:rPr>
          <w:rFonts w:hint="eastAsia"/>
          <w:b/>
          <w:bCs/>
          <w:kern w:val="0"/>
          <w:szCs w:val="21"/>
        </w:rPr>
        <w:t>页</w:t>
      </w:r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:rsidR="00E31E39" w:rsidRDefault="00746AAE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:rsidR="00E31E39" w:rsidRDefault="00746AAE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型：科普</w:t>
      </w:r>
    </w:p>
    <w:p w:rsidR="00E31E39" w:rsidRDefault="00E31E39">
      <w:pPr>
        <w:rPr>
          <w:b/>
          <w:bCs/>
          <w:color w:val="000000"/>
          <w:szCs w:val="21"/>
        </w:rPr>
      </w:pPr>
    </w:p>
    <w:p w:rsidR="002D4ED2" w:rsidRDefault="002D4ED2">
      <w:pPr>
        <w:rPr>
          <w:rFonts w:hint="eastAsia"/>
          <w:b/>
          <w:bCs/>
          <w:color w:val="000000"/>
          <w:szCs w:val="21"/>
        </w:rPr>
      </w:pPr>
    </w:p>
    <w:p w:rsidR="00E31E39" w:rsidRDefault="00746AA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31E39" w:rsidRDefault="00E31E39">
      <w:pPr>
        <w:ind w:firstLineChars="200" w:firstLine="420"/>
        <w:rPr>
          <w:color w:val="000000"/>
          <w:szCs w:val="21"/>
        </w:rPr>
      </w:pPr>
    </w:p>
    <w:p w:rsidR="00E31E39" w:rsidRDefault="00746AAE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一部探索人类聚居地非凡生物多样性的著作。《新伊甸园》讲述生命涌动的空间：银桦树与林鸽遍布的社区公园，栖息游</w:t>
      </w:r>
      <w:proofErr w:type="gramStart"/>
      <w:r>
        <w:rPr>
          <w:b/>
          <w:bCs/>
          <w:color w:val="000000"/>
          <w:szCs w:val="21"/>
        </w:rPr>
        <w:t>隼</w:t>
      </w:r>
      <w:proofErr w:type="gramEnd"/>
      <w:r>
        <w:rPr>
          <w:b/>
          <w:bCs/>
          <w:color w:val="000000"/>
          <w:szCs w:val="21"/>
        </w:rPr>
        <w:t>巢穴的摩天大楼，甚至老鼠穿行的城市地铁。</w:t>
      </w:r>
    </w:p>
    <w:p w:rsidR="00E31E39" w:rsidRDefault="00E31E39">
      <w:pPr>
        <w:ind w:firstLineChars="200" w:firstLine="420"/>
        <w:rPr>
          <w:rFonts w:ascii="宋体" w:hAnsi="宋体"/>
          <w:color w:val="000000"/>
          <w:szCs w:val="21"/>
        </w:rPr>
      </w:pPr>
    </w:p>
    <w:p w:rsidR="00E31E39" w:rsidRDefault="00746AAE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当全球生物多样性急剧衰退之际，另一种关于“近在咫尺的自然繁盛”的故事正在展开。城镇与城市承载着日益丰富的生物多样性——甚至超过自然贫瘠的乡村地区。最新研究表明，人口稠密区域存在大量动植物物种，它们比乡村同类更易繁衍生息。随着人类不断涌入城市，动植物似乎也在做着同样的事。</w:t>
      </w:r>
    </w:p>
    <w:p w:rsidR="00E31E39" w:rsidRDefault="00E31E39">
      <w:pPr>
        <w:ind w:firstLineChars="200" w:firstLine="420"/>
        <w:rPr>
          <w:color w:val="000000"/>
          <w:szCs w:val="21"/>
        </w:rPr>
      </w:pPr>
    </w:p>
    <w:p w:rsidR="00E31E39" w:rsidRDefault="00746AA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环境历史学家</w:t>
      </w:r>
      <w:r>
        <w:rPr>
          <w:color w:val="000000"/>
          <w:szCs w:val="21"/>
        </w:rPr>
        <w:t>JC</w:t>
      </w:r>
      <w:r>
        <w:rPr>
          <w:rFonts w:ascii="宋体" w:hAnsi="宋体"/>
          <w:color w:val="000000"/>
          <w:szCs w:val="21"/>
        </w:rPr>
        <w:t>·尼阿拉通过</w:t>
      </w:r>
      <w:r>
        <w:rPr>
          <w:color w:val="000000"/>
          <w:szCs w:val="21"/>
        </w:rPr>
        <w:t>一系列引人入胜的案例研究，赞颂了全球各地人与自然共存的范例。本书叩问：当我们忽视日常中的自然时，究竟错过了什么？并由此描绘了一幅生物多样性与人类生活和谐共荣的未来图景。</w:t>
      </w:r>
    </w:p>
    <w:p w:rsidR="00E31E39" w:rsidRDefault="00E31E39">
      <w:pPr>
        <w:rPr>
          <w:color w:val="000000"/>
          <w:szCs w:val="21"/>
        </w:rPr>
      </w:pPr>
    </w:p>
    <w:p w:rsidR="00E31E39" w:rsidRDefault="00E31E39">
      <w:pPr>
        <w:rPr>
          <w:color w:val="000000"/>
          <w:szCs w:val="21"/>
        </w:rPr>
      </w:pPr>
    </w:p>
    <w:p w:rsidR="00E31E39" w:rsidRDefault="00746AAE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31E39" w:rsidRDefault="00E31E39">
      <w:pPr>
        <w:ind w:firstLineChars="200" w:firstLine="422"/>
        <w:rPr>
          <w:rFonts w:ascii="宋体" w:hAnsi="宋体"/>
          <w:b/>
          <w:bCs/>
          <w:color w:val="000000"/>
          <w:szCs w:val="21"/>
        </w:rPr>
      </w:pPr>
    </w:p>
    <w:p w:rsidR="00E31E39" w:rsidRDefault="00746AA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144780</wp:posOffset>
            </wp:positionV>
            <wp:extent cx="1200785" cy="1200785"/>
            <wp:effectExtent l="0" t="0" r="0" b="0"/>
            <wp:wrapSquare wrapText="bothSides"/>
            <wp:docPr id="13501990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99090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78" cy="120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JC</w:t>
      </w:r>
      <w:r>
        <w:rPr>
          <w:rFonts w:ascii="宋体" w:hAnsi="宋体"/>
          <w:b/>
          <w:bCs/>
          <w:color w:val="000000"/>
          <w:szCs w:val="21"/>
        </w:rPr>
        <w:t>·尼阿拉</w:t>
      </w:r>
      <w:r>
        <w:rPr>
          <w:b/>
          <w:bCs/>
          <w:color w:val="000000"/>
          <w:szCs w:val="21"/>
        </w:rPr>
        <w:t>（</w:t>
      </w:r>
      <w:r>
        <w:rPr>
          <w:b/>
          <w:bCs/>
          <w:color w:val="000000"/>
          <w:szCs w:val="21"/>
        </w:rPr>
        <w:t xml:space="preserve">JC </w:t>
      </w:r>
      <w:proofErr w:type="spellStart"/>
      <w:r>
        <w:rPr>
          <w:b/>
          <w:bCs/>
          <w:color w:val="000000"/>
          <w:szCs w:val="21"/>
        </w:rPr>
        <w:t>Niala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，获奖作家、环境历史学家及人类学家，专注于研究人类与自然的互动。她巧妙融合科学调研、个人反思与叙事技巧，带领读者深入自然世界。其作品始终闪耀乐观精神，为自然写作注入崭新而鼓舞人心的视角。</w:t>
      </w:r>
      <w:r>
        <w:rPr>
          <w:color w:val="000000"/>
          <w:szCs w:val="21"/>
        </w:rPr>
        <w:t>JC</w:t>
      </w:r>
      <w:r>
        <w:rPr>
          <w:color w:val="000000"/>
          <w:szCs w:val="21"/>
        </w:rPr>
        <w:t>长期通过散文、网络期刊及书籍章节探讨与自然的互动，主题涵盖菜园种植与农耕文化。</w:t>
      </w:r>
      <w:r>
        <w:rPr>
          <w:color w:val="000000"/>
          <w:szCs w:val="21"/>
        </w:rPr>
        <w:t>2024</w:t>
      </w:r>
      <w:r>
        <w:rPr>
          <w:color w:val="000000"/>
          <w:szCs w:val="21"/>
        </w:rPr>
        <w:t>年，她的两篇自然写作散文已发表于</w:t>
      </w:r>
      <w:r>
        <w:rPr>
          <w:rFonts w:ascii="宋体" w:hAnsi="宋体"/>
          <w:color w:val="000000"/>
          <w:szCs w:val="21"/>
        </w:rPr>
        <w:t>莎拉·里格比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Sarah Rigby</w:t>
      </w:r>
      <w:r>
        <w:rPr>
          <w:color w:val="000000"/>
          <w:szCs w:val="21"/>
        </w:rPr>
        <w:t>）主编的《这片菜园》（</w:t>
      </w:r>
      <w:r>
        <w:rPr>
          <w:i/>
          <w:iCs/>
          <w:color w:val="000000"/>
          <w:szCs w:val="21"/>
        </w:rPr>
        <w:t>This Allotment</w:t>
      </w:r>
      <w:r>
        <w:rPr>
          <w:color w:val="000000"/>
          <w:szCs w:val="21"/>
        </w:rPr>
        <w:t>）与乔恩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沃尔科特（</w:t>
      </w:r>
      <w:r>
        <w:rPr>
          <w:color w:val="000000"/>
          <w:szCs w:val="21"/>
        </w:rPr>
        <w:t xml:space="preserve">Jon </w:t>
      </w:r>
      <w:proofErr w:type="spellStart"/>
      <w:r>
        <w:rPr>
          <w:color w:val="000000"/>
          <w:szCs w:val="21"/>
        </w:rPr>
        <w:t>Woolcot</w:t>
      </w:r>
      <w:proofErr w:type="spellEnd"/>
      <w:r>
        <w:rPr>
          <w:color w:val="000000"/>
          <w:szCs w:val="21"/>
        </w:rPr>
        <w:t>）主编的《走向土</w:t>
      </w:r>
      <w:r>
        <w:rPr>
          <w:color w:val="000000"/>
          <w:szCs w:val="21"/>
        </w:rPr>
        <w:lastRenderedPageBreak/>
        <w:t>地》（</w:t>
      </w:r>
      <w:r>
        <w:rPr>
          <w:i/>
          <w:iCs/>
          <w:color w:val="000000"/>
          <w:szCs w:val="21"/>
        </w:rPr>
        <w:t>Going to Ground</w:t>
      </w:r>
      <w:r>
        <w:rPr>
          <w:color w:val="000000"/>
          <w:szCs w:val="21"/>
        </w:rPr>
        <w:t>）。她曾参与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《对话》（</w:t>
      </w:r>
      <w:r>
        <w:rPr>
          <w:i/>
          <w:iCs/>
          <w:color w:val="000000"/>
          <w:szCs w:val="21"/>
        </w:rPr>
        <w:t>The Conversation</w:t>
      </w:r>
      <w:r>
        <w:rPr>
          <w:color w:val="000000"/>
          <w:szCs w:val="21"/>
        </w:rPr>
        <w:t>）与《思考许可》（</w:t>
      </w:r>
      <w:r>
        <w:rPr>
          <w:i/>
          <w:iCs/>
          <w:color w:val="000000"/>
          <w:szCs w:val="21"/>
        </w:rPr>
        <w:t>Thinking Allowed</w:t>
      </w:r>
      <w:r>
        <w:rPr>
          <w:color w:val="000000"/>
          <w:szCs w:val="21"/>
        </w:rPr>
        <w:t>）节目，并为惠康博物馆（</w:t>
      </w:r>
      <w:proofErr w:type="spellStart"/>
      <w:r>
        <w:rPr>
          <w:color w:val="000000"/>
          <w:szCs w:val="21"/>
        </w:rPr>
        <w:t>Wellcome</w:t>
      </w:r>
      <w:proofErr w:type="spellEnd"/>
      <w:r>
        <w:rPr>
          <w:color w:val="000000"/>
          <w:szCs w:val="21"/>
        </w:rPr>
        <w:t xml:space="preserve"> Collection</w:t>
      </w:r>
      <w:r>
        <w:rPr>
          <w:color w:val="000000"/>
          <w:szCs w:val="21"/>
        </w:rPr>
        <w:t>）撰写并主持自然</w:t>
      </w:r>
      <w:proofErr w:type="gramStart"/>
      <w:r>
        <w:rPr>
          <w:color w:val="000000"/>
          <w:szCs w:val="21"/>
        </w:rPr>
        <w:t>播客系列</w:t>
      </w:r>
      <w:proofErr w:type="gramEnd"/>
      <w:r>
        <w:rPr>
          <w:color w:val="000000"/>
          <w:szCs w:val="21"/>
        </w:rPr>
        <w:t>《问题根源》（</w:t>
      </w:r>
      <w:r>
        <w:rPr>
          <w:i/>
          <w:iCs/>
          <w:color w:val="000000"/>
          <w:szCs w:val="21"/>
        </w:rPr>
        <w:t>The Root of the Matter</w:t>
      </w:r>
      <w:r>
        <w:rPr>
          <w:color w:val="000000"/>
          <w:szCs w:val="21"/>
        </w:rPr>
        <w:t>）。</w:t>
      </w:r>
      <w:r>
        <w:rPr>
          <w:color w:val="000000"/>
          <w:szCs w:val="21"/>
        </w:rPr>
        <w:t>JC</w:t>
      </w:r>
      <w:r>
        <w:rPr>
          <w:color w:val="000000"/>
          <w:szCs w:val="21"/>
        </w:rPr>
        <w:t>现任牛津大学科学史博物馆研究、教学与馆藏主管，生活于牛津与内罗毕，并曾旅居伦敦、旧金山等城市。</w:t>
      </w:r>
    </w:p>
    <w:p w:rsidR="00E31E39" w:rsidRDefault="00E31E39">
      <w:pPr>
        <w:ind w:firstLineChars="200" w:firstLine="422"/>
        <w:rPr>
          <w:b/>
          <w:bCs/>
          <w:color w:val="000000"/>
          <w:szCs w:val="21"/>
        </w:rPr>
      </w:pPr>
    </w:p>
    <w:p w:rsidR="00E31E39" w:rsidRDefault="00746AAE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E31E39" w:rsidRDefault="00E31E39">
      <w:pPr>
        <w:rPr>
          <w:b/>
          <w:bCs/>
          <w:color w:val="000000"/>
          <w:szCs w:val="21"/>
        </w:rPr>
      </w:pPr>
    </w:p>
    <w:p w:rsidR="00E31E39" w:rsidRDefault="00746AAE">
      <w:pPr>
        <w:ind w:firstLineChars="200" w:firstLine="420"/>
        <w:rPr>
          <w:color w:val="000000"/>
          <w:szCs w:val="21"/>
        </w:rPr>
      </w:pPr>
      <w:bookmarkStart w:id="1" w:name="OLE_LINK43"/>
      <w:bookmarkStart w:id="2" w:name="OLE_LINK38"/>
      <w:r>
        <w:rPr>
          <w:rFonts w:ascii="宋体" w:hAnsi="宋体"/>
          <w:color w:val="000000"/>
          <w:szCs w:val="21"/>
        </w:rPr>
        <w:t>“她以无与伦比的诗意叙事天赋，唤醒了人们对自然的敬畏。”——劳拉·泰斯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 xml:space="preserve">Laura </w:t>
      </w:r>
      <w:proofErr w:type="spellStart"/>
      <w:r>
        <w:rPr>
          <w:color w:val="000000"/>
          <w:szCs w:val="21"/>
        </w:rPr>
        <w:t>Theis</w:t>
      </w:r>
      <w:proofErr w:type="spellEnd"/>
      <w:r>
        <w:rPr>
          <w:color w:val="000000"/>
          <w:szCs w:val="21"/>
        </w:rPr>
        <w:t>）</w:t>
      </w:r>
    </w:p>
    <w:p w:rsidR="00E31E39" w:rsidRDefault="00E31E39">
      <w:pPr>
        <w:shd w:val="clear" w:color="auto" w:fill="FFFFFF"/>
        <w:rPr>
          <w:color w:val="000000"/>
          <w:szCs w:val="21"/>
        </w:rPr>
      </w:pPr>
    </w:p>
    <w:p w:rsidR="00050D2B" w:rsidRDefault="00050D2B" w:rsidP="00050D2B">
      <w:pPr>
        <w:shd w:val="clear" w:color="auto" w:fill="FFFFFF"/>
        <w:ind w:firstLineChars="200" w:firstLine="420"/>
        <w:rPr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“《新伊甸</w:t>
      </w:r>
      <w:r>
        <w:rPr>
          <w:rFonts w:hint="eastAsia"/>
          <w:color w:val="000000"/>
          <w:szCs w:val="21"/>
        </w:rPr>
        <w:t>园</w:t>
      </w:r>
      <w:r w:rsidRPr="00050D2B">
        <w:rPr>
          <w:rFonts w:hint="eastAsia"/>
          <w:color w:val="000000"/>
          <w:szCs w:val="21"/>
        </w:rPr>
        <w:t>》调研详实，文</w:t>
      </w:r>
      <w:r w:rsidR="00371201">
        <w:rPr>
          <w:rFonts w:hint="eastAsia"/>
          <w:color w:val="000000"/>
          <w:szCs w:val="21"/>
        </w:rPr>
        <w:t>笔优雅。它跨越数个世纪与大洲，揭示了人类故事与荒野之间</w:t>
      </w:r>
      <w:r w:rsidRPr="00050D2B">
        <w:rPr>
          <w:rFonts w:hint="eastAsia"/>
          <w:color w:val="000000"/>
          <w:szCs w:val="21"/>
        </w:rPr>
        <w:t>交织</w:t>
      </w:r>
      <w:r w:rsidR="00371201">
        <w:rPr>
          <w:rFonts w:hint="eastAsia"/>
          <w:color w:val="000000"/>
          <w:szCs w:val="21"/>
        </w:rPr>
        <w:t>错综复杂</w:t>
      </w:r>
      <w:r w:rsidR="00371201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方式</w:t>
      </w:r>
      <w:r w:rsidRPr="00050D2B">
        <w:rPr>
          <w:rFonts w:hint="eastAsia"/>
          <w:color w:val="000000"/>
          <w:szCs w:val="21"/>
        </w:rPr>
        <w:t>，并敦促我们更</w:t>
      </w:r>
      <w:r w:rsidR="00371201">
        <w:rPr>
          <w:rFonts w:hint="eastAsia"/>
          <w:color w:val="000000"/>
          <w:szCs w:val="21"/>
        </w:rPr>
        <w:t>深入</w:t>
      </w:r>
      <w:r w:rsidRPr="00050D2B">
        <w:rPr>
          <w:rFonts w:hint="eastAsia"/>
          <w:color w:val="000000"/>
          <w:szCs w:val="21"/>
        </w:rPr>
        <w:t>地审视所栖居的空间——去</w:t>
      </w:r>
      <w:r>
        <w:rPr>
          <w:rFonts w:hint="eastAsia"/>
          <w:color w:val="000000"/>
          <w:szCs w:val="21"/>
        </w:rPr>
        <w:t>思考</w:t>
      </w:r>
      <w:r w:rsidRPr="00050D2B">
        <w:rPr>
          <w:rFonts w:hint="eastAsia"/>
          <w:color w:val="000000"/>
          <w:szCs w:val="21"/>
        </w:rPr>
        <w:t>那些被忽视的</w:t>
      </w:r>
      <w:r>
        <w:rPr>
          <w:rFonts w:hint="eastAsia"/>
          <w:color w:val="000000"/>
          <w:szCs w:val="21"/>
        </w:rPr>
        <w:t>事物</w:t>
      </w:r>
      <w:r w:rsidR="00371201">
        <w:rPr>
          <w:rFonts w:hint="eastAsia"/>
          <w:color w:val="000000"/>
          <w:szCs w:val="21"/>
        </w:rPr>
        <w:t>、以及在那些被忽视的角落生长</w:t>
      </w:r>
      <w:r w:rsidRPr="00050D2B">
        <w:rPr>
          <w:rFonts w:hint="eastAsia"/>
          <w:color w:val="000000"/>
          <w:szCs w:val="21"/>
        </w:rPr>
        <w:t>的力量。在全书中，</w:t>
      </w:r>
      <w:r w:rsidRPr="00050D2B">
        <w:rPr>
          <w:rFonts w:hint="eastAsia"/>
          <w:color w:val="000000"/>
          <w:szCs w:val="21"/>
        </w:rPr>
        <w:t>JC</w:t>
      </w:r>
      <w:r w:rsidRPr="00050D2B">
        <w:rPr>
          <w:rFonts w:hint="eastAsia"/>
          <w:color w:val="000000"/>
          <w:szCs w:val="21"/>
        </w:rPr>
        <w:t>·尼亚拉巧妙且温柔地将历史、记忆与生态学编织在一起，成就了一次宏大且优美的</w:t>
      </w:r>
      <w:r w:rsidR="00371201">
        <w:rPr>
          <w:rFonts w:hint="eastAsia"/>
          <w:color w:val="000000"/>
          <w:szCs w:val="21"/>
        </w:rPr>
        <w:t>创作</w:t>
      </w:r>
      <w:r w:rsidRPr="00050D2B">
        <w:rPr>
          <w:rFonts w:hint="eastAsia"/>
          <w:color w:val="000000"/>
          <w:szCs w:val="21"/>
        </w:rPr>
        <w:t>。它提醒我们：‘如果大自然能</w:t>
      </w:r>
      <w:r w:rsidR="00371201">
        <w:rPr>
          <w:rFonts w:hint="eastAsia"/>
          <w:color w:val="000000"/>
          <w:szCs w:val="21"/>
        </w:rPr>
        <w:t>透过</w:t>
      </w:r>
      <w:r w:rsidRPr="00050D2B">
        <w:rPr>
          <w:rFonts w:hint="eastAsia"/>
          <w:color w:val="000000"/>
          <w:szCs w:val="21"/>
        </w:rPr>
        <w:t>路面裂缝追寻光明，那么我们亦然。’这是一本</w:t>
      </w:r>
      <w:r w:rsidR="00371201">
        <w:rPr>
          <w:rFonts w:hint="eastAsia"/>
          <w:color w:val="000000"/>
          <w:szCs w:val="21"/>
        </w:rPr>
        <w:t>鼓舞</w:t>
      </w:r>
      <w:r w:rsidRPr="00050D2B">
        <w:rPr>
          <w:rFonts w:hint="eastAsia"/>
          <w:color w:val="000000"/>
          <w:szCs w:val="21"/>
        </w:rPr>
        <w:t>人心且意义非凡的著作。”</w:t>
      </w:r>
    </w:p>
    <w:p w:rsidR="00050D2B" w:rsidRPr="00050D2B" w:rsidRDefault="00050D2B" w:rsidP="00050D2B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——</w:t>
      </w:r>
      <w:r w:rsidRPr="00050D2B">
        <w:rPr>
          <w:rFonts w:hint="eastAsia"/>
          <w:color w:val="000000"/>
          <w:szCs w:val="21"/>
        </w:rPr>
        <w:t xml:space="preserve"> </w:t>
      </w:r>
      <w:r w:rsidRPr="00050D2B">
        <w:rPr>
          <w:rFonts w:hint="eastAsia"/>
          <w:color w:val="000000"/>
          <w:szCs w:val="21"/>
        </w:rPr>
        <w:t>维多利亚·本内特（</w:t>
      </w:r>
      <w:r w:rsidRPr="00050D2B">
        <w:rPr>
          <w:rFonts w:hint="eastAsia"/>
          <w:color w:val="000000"/>
          <w:szCs w:val="21"/>
        </w:rPr>
        <w:t>Victoria Bennett</w:t>
      </w:r>
      <w:r>
        <w:rPr>
          <w:rFonts w:hint="eastAsia"/>
          <w:color w:val="000000"/>
          <w:szCs w:val="21"/>
        </w:rPr>
        <w:t>），</w:t>
      </w:r>
      <w:r w:rsidRPr="00050D2B">
        <w:rPr>
          <w:rFonts w:hint="eastAsia"/>
          <w:i/>
          <w:color w:val="000000"/>
          <w:szCs w:val="21"/>
        </w:rPr>
        <w:t>All My Wild Mothers</w:t>
      </w:r>
      <w:r>
        <w:rPr>
          <w:rFonts w:hint="eastAsia"/>
          <w:color w:val="000000"/>
          <w:szCs w:val="21"/>
        </w:rPr>
        <w:t>一书的</w:t>
      </w:r>
      <w:r w:rsidRPr="00050D2B">
        <w:rPr>
          <w:rFonts w:hint="eastAsia"/>
          <w:color w:val="000000"/>
          <w:szCs w:val="21"/>
        </w:rPr>
        <w:t>作者，“荒野女性作家沙龙”（</w:t>
      </w:r>
      <w:r w:rsidRPr="00050D2B">
        <w:rPr>
          <w:rFonts w:hint="eastAsia"/>
          <w:color w:val="000000"/>
          <w:szCs w:val="21"/>
        </w:rPr>
        <w:t>Wild Women Writers</w:t>
      </w:r>
      <w:proofErr w:type="gramStart"/>
      <w:r w:rsidRPr="00050D2B">
        <w:rPr>
          <w:color w:val="000000"/>
          <w:szCs w:val="21"/>
        </w:rPr>
        <w:t>’</w:t>
      </w:r>
      <w:proofErr w:type="gramEnd"/>
      <w:r w:rsidRPr="00050D2B">
        <w:rPr>
          <w:rFonts w:hint="eastAsia"/>
          <w:color w:val="000000"/>
          <w:szCs w:val="21"/>
        </w:rPr>
        <w:t xml:space="preserve"> Salons</w:t>
      </w:r>
      <w:r w:rsidR="00371201">
        <w:rPr>
          <w:rFonts w:hint="eastAsia"/>
          <w:color w:val="000000"/>
          <w:szCs w:val="21"/>
        </w:rPr>
        <w:t>）策展人</w:t>
      </w:r>
    </w:p>
    <w:p w:rsidR="00050D2B" w:rsidRPr="00050D2B" w:rsidRDefault="00050D2B" w:rsidP="00050D2B">
      <w:pPr>
        <w:shd w:val="clear" w:color="auto" w:fill="FFFFFF"/>
        <w:rPr>
          <w:color w:val="000000"/>
          <w:szCs w:val="21"/>
        </w:rPr>
      </w:pPr>
    </w:p>
    <w:p w:rsidR="00371201" w:rsidRDefault="00050D2B" w:rsidP="00371201">
      <w:pPr>
        <w:shd w:val="clear" w:color="auto" w:fill="FFFFFF"/>
        <w:ind w:firstLineChars="200" w:firstLine="420"/>
        <w:rPr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“《新伊甸</w:t>
      </w:r>
      <w:r w:rsidR="00371201">
        <w:rPr>
          <w:rFonts w:hint="eastAsia"/>
          <w:color w:val="000000"/>
          <w:szCs w:val="21"/>
        </w:rPr>
        <w:t>园</w:t>
      </w:r>
      <w:r w:rsidRPr="00050D2B">
        <w:rPr>
          <w:rFonts w:hint="eastAsia"/>
          <w:color w:val="000000"/>
          <w:szCs w:val="21"/>
        </w:rPr>
        <w:t>》展示了</w:t>
      </w:r>
      <w:r w:rsidR="00371201">
        <w:rPr>
          <w:rFonts w:hint="eastAsia"/>
          <w:color w:val="000000"/>
          <w:szCs w:val="21"/>
        </w:rPr>
        <w:t>我们</w:t>
      </w:r>
      <w:r w:rsidRPr="00050D2B">
        <w:rPr>
          <w:rFonts w:hint="eastAsia"/>
          <w:color w:val="000000"/>
          <w:szCs w:val="21"/>
        </w:rPr>
        <w:t>如何</w:t>
      </w:r>
      <w:r w:rsidR="00371201">
        <w:rPr>
          <w:rFonts w:hint="eastAsia"/>
          <w:color w:val="000000"/>
          <w:szCs w:val="21"/>
        </w:rPr>
        <w:t>紧密联系又相互依存</w:t>
      </w:r>
      <w:r w:rsidRPr="00050D2B">
        <w:rPr>
          <w:rFonts w:hint="eastAsia"/>
          <w:color w:val="000000"/>
          <w:szCs w:val="21"/>
        </w:rPr>
        <w:t>。随着我们对自然世界及其自身</w:t>
      </w:r>
      <w:r w:rsidR="00371201">
        <w:rPr>
          <w:rFonts w:hint="eastAsia"/>
          <w:color w:val="000000"/>
          <w:szCs w:val="21"/>
        </w:rPr>
        <w:t>在其中所扮演的</w:t>
      </w:r>
      <w:r w:rsidRPr="00050D2B">
        <w:rPr>
          <w:rFonts w:hint="eastAsia"/>
          <w:color w:val="000000"/>
          <w:szCs w:val="21"/>
        </w:rPr>
        <w:t>角色有了更整体的认知，我们每个人都将拥有</w:t>
      </w:r>
      <w:r w:rsidR="00371201">
        <w:rPr>
          <w:rFonts w:hint="eastAsia"/>
          <w:color w:val="000000"/>
          <w:szCs w:val="21"/>
        </w:rPr>
        <w:t>追求</w:t>
      </w:r>
      <w:r w:rsidRPr="00050D2B">
        <w:rPr>
          <w:rFonts w:hint="eastAsia"/>
          <w:color w:val="000000"/>
          <w:szCs w:val="21"/>
        </w:rPr>
        <w:t>美好的力量。”</w:t>
      </w:r>
      <w:r w:rsidRPr="00050D2B">
        <w:rPr>
          <w:rFonts w:hint="eastAsia"/>
          <w:color w:val="000000"/>
          <w:szCs w:val="21"/>
        </w:rPr>
        <w:t xml:space="preserve"> </w:t>
      </w:r>
    </w:p>
    <w:p w:rsidR="00050D2B" w:rsidRPr="00050D2B" w:rsidRDefault="00050D2B" w:rsidP="00371201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——</w:t>
      </w:r>
      <w:r w:rsidRPr="00050D2B">
        <w:rPr>
          <w:rFonts w:hint="eastAsia"/>
          <w:color w:val="000000"/>
          <w:szCs w:val="21"/>
        </w:rPr>
        <w:t xml:space="preserve"> </w:t>
      </w:r>
      <w:r w:rsidRPr="00050D2B">
        <w:rPr>
          <w:rFonts w:hint="eastAsia"/>
          <w:color w:val="000000"/>
          <w:szCs w:val="21"/>
        </w:rPr>
        <w:t>露易丝·肯沃德（</w:t>
      </w:r>
      <w:r w:rsidRPr="00050D2B">
        <w:rPr>
          <w:rFonts w:hint="eastAsia"/>
          <w:color w:val="000000"/>
          <w:szCs w:val="21"/>
        </w:rPr>
        <w:t xml:space="preserve">Louise </w:t>
      </w:r>
      <w:proofErr w:type="spellStart"/>
      <w:r w:rsidRPr="00050D2B">
        <w:rPr>
          <w:rFonts w:hint="eastAsia"/>
          <w:color w:val="000000"/>
          <w:szCs w:val="21"/>
        </w:rPr>
        <w:t>Kenward</w:t>
      </w:r>
      <w:proofErr w:type="spellEnd"/>
      <w:r w:rsidRPr="00050D2B">
        <w:rPr>
          <w:rFonts w:hint="eastAsia"/>
          <w:color w:val="000000"/>
          <w:szCs w:val="21"/>
        </w:rPr>
        <w:t>），《移动高山》（</w:t>
      </w:r>
      <w:r w:rsidRPr="00371201">
        <w:rPr>
          <w:rFonts w:hint="eastAsia"/>
          <w:i/>
          <w:color w:val="000000"/>
          <w:szCs w:val="21"/>
        </w:rPr>
        <w:t>Moving Mountains</w:t>
      </w:r>
      <w:r w:rsidRPr="00050D2B">
        <w:rPr>
          <w:rFonts w:hint="eastAsia"/>
          <w:color w:val="000000"/>
          <w:szCs w:val="21"/>
        </w:rPr>
        <w:t>）</w:t>
      </w:r>
      <w:r w:rsidRPr="00050D2B">
        <w:rPr>
          <w:rFonts w:hint="eastAsia"/>
          <w:color w:val="000000"/>
          <w:szCs w:val="21"/>
        </w:rPr>
        <w:t xml:space="preserve"> </w:t>
      </w:r>
      <w:r w:rsidR="00371201">
        <w:rPr>
          <w:rFonts w:hint="eastAsia"/>
          <w:color w:val="000000"/>
          <w:szCs w:val="21"/>
        </w:rPr>
        <w:t>编者</w:t>
      </w:r>
    </w:p>
    <w:p w:rsidR="00050D2B" w:rsidRPr="00050D2B" w:rsidRDefault="00050D2B" w:rsidP="00050D2B">
      <w:pPr>
        <w:shd w:val="clear" w:color="auto" w:fill="FFFFFF"/>
        <w:rPr>
          <w:color w:val="000000"/>
          <w:szCs w:val="21"/>
        </w:rPr>
      </w:pPr>
    </w:p>
    <w:p w:rsidR="00371201" w:rsidRDefault="00050D2B" w:rsidP="00371201">
      <w:pPr>
        <w:shd w:val="clear" w:color="auto" w:fill="FFFFFF"/>
        <w:ind w:firstLineChars="200" w:firstLine="420"/>
        <w:rPr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“本书独树一帜、</w:t>
      </w:r>
      <w:r w:rsidR="00371201">
        <w:rPr>
          <w:rFonts w:hint="eastAsia"/>
          <w:color w:val="000000"/>
          <w:szCs w:val="21"/>
        </w:rPr>
        <w:t>内容深刻且富有</w:t>
      </w:r>
      <w:r w:rsidRPr="00050D2B">
        <w:rPr>
          <w:rFonts w:hint="eastAsia"/>
          <w:color w:val="000000"/>
          <w:szCs w:val="21"/>
        </w:rPr>
        <w:t>智慧，充满了知识</w:t>
      </w:r>
      <w:r w:rsidR="00371201">
        <w:rPr>
          <w:rFonts w:hint="eastAsia"/>
          <w:color w:val="000000"/>
          <w:szCs w:val="21"/>
        </w:rPr>
        <w:t>与</w:t>
      </w:r>
      <w:r w:rsidRPr="00050D2B">
        <w:rPr>
          <w:rFonts w:hint="eastAsia"/>
          <w:color w:val="000000"/>
          <w:szCs w:val="21"/>
        </w:rPr>
        <w:t>活力。”</w:t>
      </w:r>
      <w:r w:rsidRPr="00050D2B">
        <w:rPr>
          <w:rFonts w:hint="eastAsia"/>
          <w:color w:val="000000"/>
          <w:szCs w:val="21"/>
        </w:rPr>
        <w:t xml:space="preserve"> </w:t>
      </w:r>
    </w:p>
    <w:p w:rsidR="00050D2B" w:rsidRDefault="00050D2B" w:rsidP="00371201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050D2B">
        <w:rPr>
          <w:rFonts w:hint="eastAsia"/>
          <w:color w:val="000000"/>
          <w:szCs w:val="21"/>
        </w:rPr>
        <w:t>——</w:t>
      </w:r>
      <w:r w:rsidRPr="00050D2B">
        <w:rPr>
          <w:rFonts w:hint="eastAsia"/>
          <w:color w:val="000000"/>
          <w:szCs w:val="21"/>
        </w:rPr>
        <w:t xml:space="preserve"> </w:t>
      </w:r>
      <w:r w:rsidRPr="00050D2B">
        <w:rPr>
          <w:rFonts w:hint="eastAsia"/>
          <w:color w:val="000000"/>
          <w:szCs w:val="21"/>
        </w:rPr>
        <w:t>杰伊·格里菲斯（</w:t>
      </w:r>
      <w:r w:rsidRPr="00050D2B">
        <w:rPr>
          <w:rFonts w:hint="eastAsia"/>
          <w:color w:val="000000"/>
          <w:szCs w:val="21"/>
        </w:rPr>
        <w:t>Jay Griffiths</w:t>
      </w:r>
      <w:r w:rsidRPr="00050D2B">
        <w:rPr>
          <w:rFonts w:hint="eastAsia"/>
          <w:color w:val="000000"/>
          <w:szCs w:val="21"/>
        </w:rPr>
        <w:t>），《动物如何治愈我们》（</w:t>
      </w:r>
      <w:r w:rsidRPr="00371201">
        <w:rPr>
          <w:rFonts w:hint="eastAsia"/>
          <w:i/>
          <w:color w:val="000000"/>
          <w:szCs w:val="21"/>
        </w:rPr>
        <w:t>How Animals Heal Us</w:t>
      </w:r>
      <w:r w:rsidRPr="00050D2B">
        <w:rPr>
          <w:rFonts w:hint="eastAsia"/>
          <w:color w:val="000000"/>
          <w:szCs w:val="21"/>
        </w:rPr>
        <w:t>）</w:t>
      </w:r>
      <w:r w:rsidRPr="00050D2B">
        <w:rPr>
          <w:rFonts w:hint="eastAsia"/>
          <w:color w:val="000000"/>
          <w:szCs w:val="21"/>
        </w:rPr>
        <w:t xml:space="preserve"> </w:t>
      </w:r>
      <w:r w:rsidR="00371201">
        <w:rPr>
          <w:rFonts w:hint="eastAsia"/>
          <w:color w:val="000000"/>
          <w:szCs w:val="21"/>
        </w:rPr>
        <w:t>的作者</w:t>
      </w:r>
    </w:p>
    <w:p w:rsidR="00050D2B" w:rsidRDefault="00050D2B">
      <w:pPr>
        <w:shd w:val="clear" w:color="auto" w:fill="FFFFFF"/>
        <w:rPr>
          <w:rFonts w:hint="eastAsia"/>
          <w:color w:val="000000"/>
          <w:szCs w:val="21"/>
        </w:rPr>
      </w:pPr>
    </w:p>
    <w:p w:rsidR="007C38D8" w:rsidRPr="007C38D8" w:rsidRDefault="007C38D8" w:rsidP="007C38D8">
      <w:pPr>
        <w:ind w:firstLineChars="200" w:firstLine="420"/>
        <w:rPr>
          <w:rFonts w:hint="eastAsia"/>
          <w:color w:val="000000"/>
          <w:szCs w:val="21"/>
        </w:rPr>
      </w:pPr>
      <w:r w:rsidRPr="007C38D8">
        <w:rPr>
          <w:rFonts w:hint="eastAsia"/>
          <w:color w:val="000000"/>
          <w:szCs w:val="21"/>
        </w:rPr>
        <w:t>“动人且优美。”</w:t>
      </w:r>
      <w:r w:rsidRPr="007C38D8">
        <w:rPr>
          <w:rFonts w:hint="eastAsia"/>
          <w:color w:val="000000"/>
          <w:szCs w:val="21"/>
        </w:rPr>
        <w:t xml:space="preserve"> </w:t>
      </w:r>
      <w:r w:rsidRPr="007C38D8">
        <w:rPr>
          <w:rFonts w:hint="eastAsia"/>
          <w:color w:val="000000"/>
          <w:szCs w:val="21"/>
        </w:rPr>
        <w:t>——</w:t>
      </w:r>
      <w:r w:rsidRPr="007C38D8">
        <w:rPr>
          <w:rFonts w:hint="eastAsia"/>
          <w:color w:val="000000"/>
          <w:szCs w:val="21"/>
        </w:rPr>
        <w:t xml:space="preserve"> </w:t>
      </w:r>
      <w:r w:rsidRPr="007C38D8">
        <w:rPr>
          <w:rFonts w:hint="eastAsia"/>
          <w:color w:val="000000"/>
          <w:szCs w:val="21"/>
        </w:rPr>
        <w:t>罗伯特·麦克法伦（</w:t>
      </w:r>
      <w:r w:rsidRPr="007C38D8">
        <w:rPr>
          <w:rFonts w:hint="eastAsia"/>
          <w:color w:val="000000"/>
          <w:szCs w:val="21"/>
        </w:rPr>
        <w:t>Robert MacFarlane</w:t>
      </w:r>
      <w:r w:rsidRPr="007C38D8">
        <w:rPr>
          <w:rFonts w:hint="eastAsia"/>
          <w:color w:val="000000"/>
          <w:szCs w:val="21"/>
        </w:rPr>
        <w:t>）</w:t>
      </w:r>
    </w:p>
    <w:p w:rsidR="007C38D8" w:rsidRPr="007C38D8" w:rsidRDefault="007C38D8" w:rsidP="007C38D8">
      <w:pPr>
        <w:rPr>
          <w:color w:val="000000"/>
          <w:szCs w:val="21"/>
        </w:rPr>
      </w:pPr>
    </w:p>
    <w:p w:rsidR="007C38D8" w:rsidRDefault="007C38D8" w:rsidP="007C38D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“像一场颇具深意的邀约，带领我们将城市视为一个</w:t>
      </w:r>
      <w:r>
        <w:rPr>
          <w:rFonts w:hint="eastAsia"/>
          <w:color w:val="000000"/>
          <w:szCs w:val="21"/>
        </w:rPr>
        <w:t>万物共生</w:t>
      </w:r>
      <w:r>
        <w:rPr>
          <w:rFonts w:hint="eastAsia"/>
          <w:color w:val="000000"/>
          <w:szCs w:val="21"/>
        </w:rPr>
        <w:t>、充满自由与无限可能</w:t>
      </w:r>
      <w:r w:rsidRPr="007C38D8">
        <w:rPr>
          <w:rFonts w:hint="eastAsia"/>
          <w:color w:val="000000"/>
          <w:szCs w:val="21"/>
        </w:rPr>
        <w:t>的场域。”</w:t>
      </w:r>
      <w:r w:rsidRPr="007C38D8">
        <w:rPr>
          <w:rFonts w:hint="eastAsia"/>
          <w:color w:val="000000"/>
          <w:szCs w:val="21"/>
        </w:rPr>
        <w:t xml:space="preserve"> </w:t>
      </w:r>
    </w:p>
    <w:p w:rsidR="007C38D8" w:rsidRPr="007C38D8" w:rsidRDefault="007C38D8" w:rsidP="007C38D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7C38D8">
        <w:rPr>
          <w:rFonts w:hint="eastAsia"/>
          <w:color w:val="000000"/>
          <w:szCs w:val="21"/>
        </w:rPr>
        <w:t>——</w:t>
      </w:r>
      <w:r w:rsidRPr="007C38D8">
        <w:rPr>
          <w:rFonts w:hint="eastAsia"/>
          <w:color w:val="000000"/>
          <w:szCs w:val="21"/>
        </w:rPr>
        <w:t xml:space="preserve"> </w:t>
      </w:r>
      <w:r w:rsidRPr="007C38D8">
        <w:rPr>
          <w:rFonts w:hint="eastAsia"/>
          <w:color w:val="000000"/>
          <w:szCs w:val="21"/>
        </w:rPr>
        <w:t>奥利维亚·莱恩（</w:t>
      </w:r>
      <w:r w:rsidRPr="007C38D8">
        <w:rPr>
          <w:rFonts w:hint="eastAsia"/>
          <w:color w:val="000000"/>
          <w:szCs w:val="21"/>
        </w:rPr>
        <w:t>Olivia Laing</w:t>
      </w:r>
      <w:r w:rsidRPr="007C38D8">
        <w:rPr>
          <w:rFonts w:hint="eastAsia"/>
          <w:color w:val="000000"/>
          <w:szCs w:val="21"/>
        </w:rPr>
        <w:t>）</w:t>
      </w:r>
    </w:p>
    <w:p w:rsidR="007C38D8" w:rsidRPr="007C38D8" w:rsidRDefault="007C38D8" w:rsidP="007C38D8">
      <w:pPr>
        <w:rPr>
          <w:color w:val="000000"/>
          <w:szCs w:val="21"/>
        </w:rPr>
      </w:pPr>
    </w:p>
    <w:p w:rsidR="00050D2B" w:rsidRDefault="00050D2B" w:rsidP="00050D2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“本书完美融合了</w:t>
      </w:r>
      <w:r>
        <w:rPr>
          <w:rFonts w:hint="eastAsia"/>
          <w:color w:val="000000"/>
          <w:szCs w:val="21"/>
        </w:rPr>
        <w:t>个人生活</w:t>
      </w:r>
      <w:r>
        <w:rPr>
          <w:rFonts w:hint="eastAsia"/>
          <w:color w:val="000000"/>
          <w:szCs w:val="21"/>
        </w:rPr>
        <w:t>的复杂性</w:t>
      </w:r>
      <w:r w:rsidR="007C38D8" w:rsidRPr="007C38D8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身边自然世界</w:t>
      </w:r>
      <w:r w:rsidR="007C38D8" w:rsidRPr="007C38D8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宏大世界观</w:t>
      </w:r>
      <w:r w:rsidR="007C38D8" w:rsidRPr="007C38D8">
        <w:rPr>
          <w:rFonts w:hint="eastAsia"/>
          <w:color w:val="000000"/>
          <w:szCs w:val="21"/>
        </w:rPr>
        <w:t>——这是一封献给</w:t>
      </w:r>
      <w:r>
        <w:rPr>
          <w:rFonts w:hint="eastAsia"/>
          <w:color w:val="000000"/>
          <w:szCs w:val="21"/>
        </w:rPr>
        <w:t>大</w:t>
      </w:r>
      <w:r w:rsidR="007C38D8" w:rsidRPr="007C38D8">
        <w:rPr>
          <w:rFonts w:hint="eastAsia"/>
          <w:color w:val="000000"/>
          <w:szCs w:val="21"/>
        </w:rPr>
        <w:t>自然的情书，却非远距离的</w:t>
      </w:r>
      <w:r>
        <w:rPr>
          <w:rFonts w:hint="eastAsia"/>
          <w:color w:val="000000"/>
          <w:szCs w:val="21"/>
        </w:rPr>
        <w:t>官网</w:t>
      </w:r>
      <w:r w:rsidR="007C38D8" w:rsidRPr="007C38D8">
        <w:rPr>
          <w:rFonts w:hint="eastAsia"/>
          <w:color w:val="000000"/>
          <w:szCs w:val="21"/>
        </w:rPr>
        <w:t>，而是那种</w:t>
      </w:r>
      <w:r>
        <w:rPr>
          <w:rFonts w:hint="eastAsia"/>
          <w:color w:val="000000"/>
          <w:szCs w:val="21"/>
        </w:rPr>
        <w:t>近在咫尺就能感受到的自然之美</w:t>
      </w:r>
      <w:r w:rsidR="007C38D8" w:rsidRPr="007C38D8">
        <w:rPr>
          <w:rFonts w:hint="eastAsia"/>
          <w:color w:val="000000"/>
          <w:szCs w:val="21"/>
        </w:rPr>
        <w:t>。”</w:t>
      </w:r>
      <w:r w:rsidR="007C38D8" w:rsidRPr="007C38D8">
        <w:rPr>
          <w:rFonts w:hint="eastAsia"/>
          <w:color w:val="000000"/>
          <w:szCs w:val="21"/>
        </w:rPr>
        <w:t xml:space="preserve"> </w:t>
      </w:r>
    </w:p>
    <w:p w:rsidR="007C38D8" w:rsidRDefault="007C38D8" w:rsidP="00050D2B">
      <w:pPr>
        <w:ind w:firstLineChars="200" w:firstLine="420"/>
        <w:jc w:val="right"/>
        <w:rPr>
          <w:color w:val="000000"/>
          <w:szCs w:val="21"/>
        </w:rPr>
      </w:pPr>
      <w:r w:rsidRPr="007C38D8">
        <w:rPr>
          <w:rFonts w:hint="eastAsia"/>
          <w:color w:val="000000"/>
          <w:szCs w:val="21"/>
        </w:rPr>
        <w:t>——</w:t>
      </w:r>
      <w:r w:rsidRPr="007C38D8">
        <w:rPr>
          <w:rFonts w:hint="eastAsia"/>
          <w:color w:val="000000"/>
          <w:szCs w:val="21"/>
        </w:rPr>
        <w:t xml:space="preserve"> </w:t>
      </w:r>
      <w:r w:rsidRPr="007C38D8">
        <w:rPr>
          <w:rFonts w:hint="eastAsia"/>
          <w:color w:val="000000"/>
          <w:szCs w:val="21"/>
        </w:rPr>
        <w:t>娜塔莎·卡修（</w:t>
      </w:r>
      <w:r w:rsidRPr="007C38D8">
        <w:rPr>
          <w:rFonts w:hint="eastAsia"/>
          <w:color w:val="000000"/>
          <w:szCs w:val="21"/>
        </w:rPr>
        <w:t xml:space="preserve">Natasha </w:t>
      </w:r>
      <w:proofErr w:type="spellStart"/>
      <w:r w:rsidRPr="007C38D8">
        <w:rPr>
          <w:rFonts w:hint="eastAsia"/>
          <w:color w:val="000000"/>
          <w:szCs w:val="21"/>
        </w:rPr>
        <w:t>Carthew</w:t>
      </w:r>
      <w:proofErr w:type="spellEnd"/>
      <w:r w:rsidRPr="007C38D8">
        <w:rPr>
          <w:rFonts w:hint="eastAsia"/>
          <w:color w:val="000000"/>
          <w:szCs w:val="21"/>
        </w:rPr>
        <w:t>）</w:t>
      </w:r>
    </w:p>
    <w:p w:rsidR="00050D2B" w:rsidRDefault="00050D2B" w:rsidP="007C38D8">
      <w:pPr>
        <w:rPr>
          <w:color w:val="000000"/>
          <w:szCs w:val="21"/>
        </w:rPr>
      </w:pPr>
    </w:p>
    <w:p w:rsidR="00050D2B" w:rsidRDefault="007C38D8" w:rsidP="00050D2B">
      <w:pPr>
        <w:ind w:firstLineChars="200" w:firstLine="420"/>
        <w:rPr>
          <w:color w:val="000000"/>
          <w:szCs w:val="21"/>
        </w:rPr>
      </w:pPr>
      <w:r w:rsidRPr="007C38D8">
        <w:rPr>
          <w:rFonts w:hint="eastAsia"/>
          <w:color w:val="000000"/>
          <w:szCs w:val="21"/>
        </w:rPr>
        <w:t>“《新伊甸园》深邃</w:t>
      </w:r>
      <w:r w:rsidR="00050D2B">
        <w:rPr>
          <w:rFonts w:hint="eastAsia"/>
          <w:color w:val="000000"/>
          <w:szCs w:val="21"/>
        </w:rPr>
        <w:t>且令人愉悦，具有变革意义</w:t>
      </w:r>
      <w:r w:rsidRPr="007C38D8">
        <w:rPr>
          <w:rFonts w:hint="eastAsia"/>
          <w:color w:val="000000"/>
          <w:szCs w:val="21"/>
        </w:rPr>
        <w:t>且感人至深。它挑战了关于‘如何归属并守护地球家园’的殖民主义传统观念，引领我们迈向一个充满希望的新方向。”</w:t>
      </w:r>
      <w:r w:rsidRPr="007C38D8">
        <w:rPr>
          <w:rFonts w:hint="eastAsia"/>
          <w:color w:val="000000"/>
          <w:szCs w:val="21"/>
        </w:rPr>
        <w:t xml:space="preserve"> </w:t>
      </w:r>
    </w:p>
    <w:p w:rsidR="007C38D8" w:rsidRDefault="007C38D8" w:rsidP="00050D2B">
      <w:pPr>
        <w:ind w:firstLineChars="200" w:firstLine="420"/>
        <w:jc w:val="right"/>
        <w:rPr>
          <w:color w:val="000000"/>
          <w:szCs w:val="21"/>
        </w:rPr>
      </w:pPr>
      <w:r w:rsidRPr="007C38D8">
        <w:rPr>
          <w:rFonts w:hint="eastAsia"/>
          <w:color w:val="000000"/>
          <w:szCs w:val="21"/>
        </w:rPr>
        <w:t>——尼古拉·切斯特（</w:t>
      </w:r>
      <w:r w:rsidRPr="007C38D8">
        <w:rPr>
          <w:rFonts w:hint="eastAsia"/>
          <w:color w:val="000000"/>
          <w:szCs w:val="21"/>
        </w:rPr>
        <w:t>Nicola Chester</w:t>
      </w:r>
      <w:r w:rsidRPr="007C38D8">
        <w:rPr>
          <w:rFonts w:hint="eastAsia"/>
          <w:color w:val="000000"/>
          <w:szCs w:val="21"/>
        </w:rPr>
        <w:t>）</w:t>
      </w:r>
    </w:p>
    <w:p w:rsidR="007C38D8" w:rsidRDefault="007C38D8">
      <w:pPr>
        <w:shd w:val="clear" w:color="auto" w:fill="FFFFFF"/>
        <w:rPr>
          <w:rFonts w:hint="eastAsia"/>
          <w:color w:val="000000"/>
          <w:szCs w:val="21"/>
        </w:rPr>
      </w:pPr>
    </w:p>
    <w:p w:rsidR="000610C9" w:rsidRDefault="000610C9">
      <w:pPr>
        <w:shd w:val="clear" w:color="auto" w:fill="FFFFFF"/>
        <w:rPr>
          <w:rFonts w:hint="eastAsia"/>
          <w:color w:val="000000"/>
          <w:szCs w:val="21"/>
        </w:rPr>
      </w:pPr>
    </w:p>
    <w:p w:rsidR="000610C9" w:rsidRDefault="000610C9" w:rsidP="000610C9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0610C9" w:rsidRDefault="000610C9" w:rsidP="000610C9">
      <w:pPr>
        <w:rPr>
          <w:rFonts w:hint="eastAsia"/>
          <w:b/>
          <w:bCs/>
          <w:color w:val="000000"/>
          <w:szCs w:val="21"/>
        </w:rPr>
      </w:pP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导言</w:t>
      </w:r>
      <w:r>
        <w:rPr>
          <w:rFonts w:hint="eastAsia"/>
          <w:color w:val="000000"/>
          <w:szCs w:val="21"/>
        </w:rPr>
        <w:t xml:space="preserve"> 1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边界穿越者：城市动物与它们模糊的疆界</w:t>
      </w:r>
      <w:r>
        <w:rPr>
          <w:rFonts w:hint="eastAsia"/>
          <w:color w:val="000000"/>
          <w:szCs w:val="21"/>
        </w:rPr>
        <w:t xml:space="preserve"> 9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边缘与围栏：花园如何帮助我们重新思考归属感</w:t>
      </w:r>
      <w:r>
        <w:rPr>
          <w:rFonts w:hint="eastAsia"/>
          <w:color w:val="000000"/>
          <w:szCs w:val="21"/>
        </w:rPr>
        <w:t xml:space="preserve"> 29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共存中的恐惧：同一空间中的权力</w:t>
      </w:r>
      <w:r>
        <w:rPr>
          <w:rFonts w:hint="eastAsia"/>
          <w:color w:val="000000"/>
          <w:szCs w:val="21"/>
        </w:rPr>
        <w:t xml:space="preserve"> 47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隼</w:t>
      </w:r>
      <w:proofErr w:type="gramEnd"/>
      <w:r>
        <w:rPr>
          <w:rFonts w:hint="eastAsia"/>
          <w:color w:val="000000"/>
          <w:szCs w:val="21"/>
        </w:rPr>
        <w:t>、鹮与其他天空邻居</w:t>
      </w:r>
      <w:r>
        <w:rPr>
          <w:rFonts w:hint="eastAsia"/>
          <w:color w:val="000000"/>
          <w:szCs w:val="21"/>
        </w:rPr>
        <w:t xml:space="preserve"> 69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土中生长：危机中的耕耘</w:t>
      </w:r>
      <w:r>
        <w:rPr>
          <w:rFonts w:hint="eastAsia"/>
          <w:color w:val="000000"/>
          <w:szCs w:val="21"/>
        </w:rPr>
        <w:t xml:space="preserve"> 87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土中承载：植物、记忆与韧性</w:t>
      </w:r>
      <w:r>
        <w:rPr>
          <w:rFonts w:hint="eastAsia"/>
          <w:color w:val="000000"/>
          <w:szCs w:val="21"/>
        </w:rPr>
        <w:t xml:space="preserve"> 105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超越野化：城市昆虫如何教我们维系生命</w:t>
      </w:r>
      <w:r>
        <w:rPr>
          <w:rFonts w:hint="eastAsia"/>
          <w:color w:val="000000"/>
          <w:szCs w:val="21"/>
        </w:rPr>
        <w:t xml:space="preserve"> 123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柔性文明：湿地如何塑造都市世界</w:t>
      </w:r>
      <w:r>
        <w:rPr>
          <w:rFonts w:hint="eastAsia"/>
          <w:color w:val="000000"/>
          <w:szCs w:val="21"/>
        </w:rPr>
        <w:t xml:space="preserve"> 147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城市下的蹄印：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从历史食物系统中汲取智慧</w:t>
      </w:r>
      <w:r>
        <w:rPr>
          <w:rFonts w:hint="eastAsia"/>
          <w:color w:val="000000"/>
          <w:szCs w:val="21"/>
        </w:rPr>
        <w:t xml:space="preserve"> 167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长远之计：兼顾森林与树木</w:t>
      </w:r>
      <w:r>
        <w:rPr>
          <w:rFonts w:hint="eastAsia"/>
          <w:color w:val="000000"/>
          <w:szCs w:val="21"/>
        </w:rPr>
        <w:t xml:space="preserve"> 183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尾声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活着的城市：永恒的蜕变</w:t>
      </w:r>
      <w:r>
        <w:rPr>
          <w:rFonts w:hint="eastAsia"/>
          <w:color w:val="000000"/>
          <w:szCs w:val="21"/>
        </w:rPr>
        <w:t xml:space="preserve"> 203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  <w:r>
        <w:rPr>
          <w:rFonts w:hint="eastAsia"/>
          <w:color w:val="000000"/>
          <w:szCs w:val="21"/>
        </w:rPr>
        <w:t xml:space="preserve"> 207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参考文献</w:t>
      </w:r>
      <w:r>
        <w:rPr>
          <w:rFonts w:hint="eastAsia"/>
          <w:color w:val="000000"/>
          <w:szCs w:val="21"/>
        </w:rPr>
        <w:t xml:space="preserve"> 221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  <w:r>
        <w:rPr>
          <w:rFonts w:hint="eastAsia"/>
          <w:color w:val="000000"/>
          <w:szCs w:val="21"/>
        </w:rPr>
        <w:t xml:space="preserve"> 231</w:t>
      </w:r>
    </w:p>
    <w:p w:rsidR="000610C9" w:rsidRDefault="000610C9" w:rsidP="000610C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鸣谢</w:t>
      </w:r>
      <w:r>
        <w:rPr>
          <w:rFonts w:hint="eastAsia"/>
          <w:color w:val="000000"/>
          <w:szCs w:val="21"/>
        </w:rPr>
        <w:t xml:space="preserve"> 239</w:t>
      </w:r>
    </w:p>
    <w:p w:rsidR="000610C9" w:rsidRPr="000610C9" w:rsidRDefault="000610C9">
      <w:pPr>
        <w:shd w:val="clear" w:color="auto" w:fill="FFFFFF"/>
        <w:rPr>
          <w:rFonts w:hint="eastAsia"/>
          <w:color w:val="000000"/>
          <w:szCs w:val="21"/>
        </w:rPr>
      </w:pPr>
    </w:p>
    <w:p w:rsidR="00E31E39" w:rsidRDefault="00E31E39">
      <w:pPr>
        <w:shd w:val="clear" w:color="auto" w:fill="FFFFFF"/>
        <w:rPr>
          <w:color w:val="000000"/>
          <w:szCs w:val="21"/>
        </w:rPr>
      </w:pPr>
    </w:p>
    <w:p w:rsidR="00E31E39" w:rsidRDefault="00E31E39">
      <w:pPr>
        <w:shd w:val="clear" w:color="auto" w:fill="FFFFFF"/>
        <w:rPr>
          <w:b/>
          <w:bCs/>
          <w:color w:val="000000"/>
          <w:szCs w:val="21"/>
        </w:rPr>
      </w:pPr>
    </w:p>
    <w:p w:rsidR="00E31E39" w:rsidRDefault="00746AAE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31E39" w:rsidRDefault="00746AAE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31E39" w:rsidRDefault="00746AA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31E39" w:rsidRDefault="00746AA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31E39" w:rsidRDefault="00746AA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31E39" w:rsidRDefault="00746AA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31E39" w:rsidRDefault="00746AA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31E39" w:rsidRDefault="00746AAE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31E39" w:rsidRDefault="00746AA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31E39" w:rsidRDefault="00746AA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31E39" w:rsidRDefault="00746AA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31E39" w:rsidRDefault="00746AAE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31E39" w:rsidRDefault="00746AA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31E39" w:rsidRDefault="00746AA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39" w:rsidRDefault="00E31E39">
      <w:pPr>
        <w:ind w:right="420"/>
        <w:rPr>
          <w:rFonts w:eastAsia="Gungsuh"/>
          <w:color w:val="000000"/>
          <w:kern w:val="0"/>
          <w:szCs w:val="21"/>
        </w:rPr>
      </w:pPr>
    </w:p>
    <w:sectPr w:rsidR="00E31E3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D9" w:rsidRDefault="007F41D9">
      <w:r>
        <w:separator/>
      </w:r>
    </w:p>
  </w:endnote>
  <w:endnote w:type="continuationSeparator" w:id="0">
    <w:p w:rsidR="007F41D9" w:rsidRDefault="007F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E39" w:rsidRDefault="00E31E3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31E39" w:rsidRDefault="00746AA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31E39" w:rsidRDefault="00746AA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31E39" w:rsidRDefault="00746AA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31E39" w:rsidRDefault="00E31E3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D9" w:rsidRDefault="007F41D9">
      <w:r>
        <w:separator/>
      </w:r>
    </w:p>
  </w:footnote>
  <w:footnote w:type="continuationSeparator" w:id="0">
    <w:p w:rsidR="007F41D9" w:rsidRDefault="007F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E39" w:rsidRDefault="00746AA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1E39" w:rsidRDefault="00746AA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0D2B"/>
    <w:rsid w:val="000565CB"/>
    <w:rsid w:val="000565DB"/>
    <w:rsid w:val="000610C9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B3141"/>
    <w:rsid w:val="000B3EED"/>
    <w:rsid w:val="000B4D73"/>
    <w:rsid w:val="000C0951"/>
    <w:rsid w:val="000C18AC"/>
    <w:rsid w:val="000C2295"/>
    <w:rsid w:val="000C39A1"/>
    <w:rsid w:val="000D0A7C"/>
    <w:rsid w:val="000D293D"/>
    <w:rsid w:val="000D2FF1"/>
    <w:rsid w:val="000D34C3"/>
    <w:rsid w:val="000D3D3A"/>
    <w:rsid w:val="000D411A"/>
    <w:rsid w:val="000D5F8D"/>
    <w:rsid w:val="000E2CB9"/>
    <w:rsid w:val="000F050F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D4ED2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1201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6399"/>
    <w:rsid w:val="00446820"/>
    <w:rsid w:val="004655CB"/>
    <w:rsid w:val="00485E2E"/>
    <w:rsid w:val="00486E31"/>
    <w:rsid w:val="00490C30"/>
    <w:rsid w:val="004A3CC4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2BE7"/>
    <w:rsid w:val="006074DA"/>
    <w:rsid w:val="0061102C"/>
    <w:rsid w:val="006149AB"/>
    <w:rsid w:val="00616A0F"/>
    <w:rsid w:val="006176AA"/>
    <w:rsid w:val="00636105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6AAE"/>
    <w:rsid w:val="00747520"/>
    <w:rsid w:val="0075196D"/>
    <w:rsid w:val="00763D35"/>
    <w:rsid w:val="0077161B"/>
    <w:rsid w:val="007719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38D8"/>
    <w:rsid w:val="007C4BA4"/>
    <w:rsid w:val="007C5D7D"/>
    <w:rsid w:val="007C68DC"/>
    <w:rsid w:val="007C77C5"/>
    <w:rsid w:val="007D262A"/>
    <w:rsid w:val="007D2B8C"/>
    <w:rsid w:val="007D552C"/>
    <w:rsid w:val="007D69A1"/>
    <w:rsid w:val="007E108E"/>
    <w:rsid w:val="007E2BA6"/>
    <w:rsid w:val="007E348E"/>
    <w:rsid w:val="007E44C1"/>
    <w:rsid w:val="007F1B8C"/>
    <w:rsid w:val="007F356B"/>
    <w:rsid w:val="007F41D9"/>
    <w:rsid w:val="007F652C"/>
    <w:rsid w:val="00805ED5"/>
    <w:rsid w:val="00806525"/>
    <w:rsid w:val="00811D31"/>
    <w:rsid w:val="008129CA"/>
    <w:rsid w:val="00816558"/>
    <w:rsid w:val="00822F2B"/>
    <w:rsid w:val="00826978"/>
    <w:rsid w:val="008428AA"/>
    <w:rsid w:val="00845323"/>
    <w:rsid w:val="008455E2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27954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871D4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1EAE"/>
    <w:rsid w:val="00A764B0"/>
    <w:rsid w:val="00A866EC"/>
    <w:rsid w:val="00A90D6D"/>
    <w:rsid w:val="00A90FC8"/>
    <w:rsid w:val="00A91679"/>
    <w:rsid w:val="00A91D49"/>
    <w:rsid w:val="00AA0DEF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1147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1E3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4B78"/>
    <w:rsid w:val="00ED5E43"/>
    <w:rsid w:val="00ED7082"/>
    <w:rsid w:val="00EE4676"/>
    <w:rsid w:val="00EE71DA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E14BFC"/>
    <w:rsid w:val="162057B7"/>
    <w:rsid w:val="17594F22"/>
    <w:rsid w:val="21DC5EE4"/>
    <w:rsid w:val="256B5BB0"/>
    <w:rsid w:val="25D21D98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2024C43-94F5-4AA0-BD6C-1E89AA1F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1247</Words>
  <Characters>1760</Characters>
  <Application>Microsoft Office Word</Application>
  <DocSecurity>0</DocSecurity>
  <Lines>92</Lines>
  <Paragraphs>93</Paragraphs>
  <ScaleCrop>false</ScaleCrop>
  <Company>2ndSpAcE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2005-06-10T06:33:00Z</cp:lastPrinted>
  <dcterms:created xsi:type="dcterms:W3CDTF">2025-04-10T13:54:00Z</dcterms:created>
  <dcterms:modified xsi:type="dcterms:W3CDTF">2026-01-14T08:51:00Z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AD6D18758D5447EAB9F33A0379891545_13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