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701C72C8" w:rsidR="00AE574A" w:rsidRDefault="00AE574A">
      <w:pPr>
        <w:rPr>
          <w:b/>
          <w:color w:val="000000"/>
          <w:szCs w:val="21"/>
        </w:rPr>
      </w:pPr>
    </w:p>
    <w:p w14:paraId="3DA7336F" w14:textId="0E6C5D18" w:rsidR="00774233" w:rsidRPr="00774233" w:rsidRDefault="000F2CA0"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633489DF">
            <wp:simplePos x="0" y="0"/>
            <wp:positionH relativeFrom="margin">
              <wp:align>right</wp:align>
            </wp:positionH>
            <wp:positionV relativeFrom="paragraph">
              <wp:posOffset>10795</wp:posOffset>
            </wp:positionV>
            <wp:extent cx="1389380" cy="2115185"/>
            <wp:effectExtent l="0" t="0" r="127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389380" cy="211518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FE1607" w:rsidRPr="00FE1607">
        <w:rPr>
          <w:b/>
          <w:bCs/>
          <w:color w:val="000000"/>
          <w:szCs w:val="21"/>
        </w:rPr>
        <w:t>发育障碍儿童的行为问题：儿科医师指南</w:t>
      </w:r>
      <w:r w:rsidR="003C4C2E" w:rsidRPr="003C4C2E">
        <w:rPr>
          <w:rFonts w:hint="eastAsia"/>
          <w:b/>
          <w:bCs/>
          <w:color w:val="000000"/>
          <w:szCs w:val="21"/>
        </w:rPr>
        <w:t>》</w:t>
      </w:r>
    </w:p>
    <w:p w14:paraId="0A99D036" w14:textId="656B7A47"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54A57" w:rsidRPr="00954A57">
        <w:rPr>
          <w:b/>
          <w:bCs/>
          <w:color w:val="000000"/>
          <w:szCs w:val="21"/>
        </w:rPr>
        <w:t xml:space="preserve">BEHAVIOURAL PROBLEMS IN DEVELOPMENTAL DISORDERS: A </w:t>
      </w:r>
      <w:proofErr w:type="spellStart"/>
      <w:r w:rsidR="00954A57" w:rsidRPr="00954A57">
        <w:rPr>
          <w:b/>
          <w:bCs/>
          <w:color w:val="000000"/>
          <w:szCs w:val="21"/>
        </w:rPr>
        <w:t>Paediatrician</w:t>
      </w:r>
      <w:r w:rsidR="00954A57">
        <w:rPr>
          <w:b/>
          <w:bCs/>
          <w:color w:val="000000"/>
          <w:szCs w:val="21"/>
        </w:rPr>
        <w:t>’</w:t>
      </w:r>
      <w:r w:rsidR="00954A57" w:rsidRPr="00954A57">
        <w:rPr>
          <w:b/>
          <w:bCs/>
          <w:color w:val="000000"/>
          <w:szCs w:val="21"/>
        </w:rPr>
        <w:t>s</w:t>
      </w:r>
      <w:proofErr w:type="spellEnd"/>
      <w:r w:rsidR="00954A57" w:rsidRPr="00954A57">
        <w:rPr>
          <w:b/>
          <w:bCs/>
          <w:color w:val="000000"/>
          <w:szCs w:val="21"/>
        </w:rPr>
        <w:t xml:space="preserve"> Guide</w:t>
      </w:r>
    </w:p>
    <w:p w14:paraId="39B7E419" w14:textId="712DBD6C"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6B0644" w:rsidRPr="006B0644">
        <w:rPr>
          <w:b/>
          <w:bCs/>
          <w:color w:val="000000"/>
          <w:szCs w:val="21"/>
        </w:rPr>
        <w:t xml:space="preserve">Stewart Einfeld, Michael McDowell, and Adrian Sandler </w:t>
      </w:r>
      <w:hyperlink r:id="rId9" w:history="1"/>
    </w:p>
    <w:p w14:paraId="68A256E0" w14:textId="73A2091C"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20736" w:rsidRPr="00C20736">
        <w:rPr>
          <w:b/>
          <w:bCs/>
          <w:color w:val="000000"/>
          <w:szCs w:val="21"/>
        </w:rPr>
        <w:t>Oxford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08EEA5EF"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B0644">
        <w:rPr>
          <w:b/>
          <w:bCs/>
          <w:color w:val="000000"/>
          <w:szCs w:val="21"/>
        </w:rPr>
        <w:t>30</w:t>
      </w:r>
      <w:r w:rsidR="006B7CF3">
        <w:rPr>
          <w:rFonts w:hint="eastAsia"/>
          <w:b/>
          <w:bCs/>
          <w:color w:val="000000"/>
          <w:szCs w:val="21"/>
        </w:rPr>
        <w:t>4</w:t>
      </w:r>
      <w:r w:rsidR="006B7CF3">
        <w:rPr>
          <w:rFonts w:hint="eastAsia"/>
          <w:b/>
          <w:bCs/>
          <w:color w:val="000000"/>
          <w:szCs w:val="21"/>
        </w:rPr>
        <w:t>页</w:t>
      </w:r>
    </w:p>
    <w:p w14:paraId="31380F95" w14:textId="3DF467C5"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0F2CA0">
        <w:rPr>
          <w:b/>
          <w:bCs/>
          <w:color w:val="000000"/>
          <w:szCs w:val="21"/>
        </w:rPr>
        <w:t>1</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5A45C0AA"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0F2CA0">
        <w:rPr>
          <w:rFonts w:hint="eastAsia"/>
          <w:b/>
          <w:bCs/>
          <w:szCs w:val="21"/>
        </w:rPr>
        <w:t>医学</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1DE2A31F" w14:textId="6FEF037C" w:rsidR="002D1F48" w:rsidRDefault="002D1F48" w:rsidP="002D1F48">
      <w:pPr>
        <w:pStyle w:val="ac"/>
        <w:numPr>
          <w:ilvl w:val="0"/>
          <w:numId w:val="44"/>
        </w:numPr>
        <w:ind w:firstLineChars="0"/>
        <w:rPr>
          <w:b/>
          <w:bCs/>
          <w:color w:val="000000"/>
          <w:szCs w:val="21"/>
        </w:rPr>
      </w:pPr>
      <w:r w:rsidRPr="002D1F48">
        <w:rPr>
          <w:b/>
          <w:bCs/>
          <w:color w:val="000000"/>
          <w:szCs w:val="21"/>
        </w:rPr>
        <w:t>专为受过医学训练的专业人士撰写，并配有案例分析，展示实际情形</w:t>
      </w:r>
      <w:r>
        <w:rPr>
          <w:rFonts w:hint="eastAsia"/>
          <w:b/>
          <w:bCs/>
          <w:color w:val="000000"/>
          <w:szCs w:val="21"/>
        </w:rPr>
        <w:t>。</w:t>
      </w:r>
    </w:p>
    <w:p w14:paraId="6DC43011" w14:textId="77777777" w:rsidR="002D1F48" w:rsidRDefault="002D1F48" w:rsidP="002D1F48">
      <w:pPr>
        <w:pStyle w:val="ac"/>
        <w:numPr>
          <w:ilvl w:val="0"/>
          <w:numId w:val="44"/>
        </w:numPr>
        <w:ind w:firstLineChars="0"/>
        <w:rPr>
          <w:b/>
          <w:bCs/>
          <w:color w:val="000000"/>
          <w:szCs w:val="21"/>
        </w:rPr>
      </w:pPr>
      <w:r w:rsidRPr="002D1F48">
        <w:rPr>
          <w:b/>
          <w:bCs/>
          <w:color w:val="000000"/>
          <w:szCs w:val="21"/>
        </w:rPr>
        <w:t>融合精神科与儿科两种专业视角。</w:t>
      </w:r>
    </w:p>
    <w:p w14:paraId="24BC36BA" w14:textId="3DBBEEC7" w:rsidR="00FA6345" w:rsidRPr="002D1F48" w:rsidRDefault="002D1F48" w:rsidP="002D1F48">
      <w:pPr>
        <w:pStyle w:val="ac"/>
        <w:numPr>
          <w:ilvl w:val="0"/>
          <w:numId w:val="44"/>
        </w:numPr>
        <w:ind w:firstLineChars="0"/>
        <w:rPr>
          <w:b/>
          <w:bCs/>
          <w:color w:val="000000"/>
          <w:szCs w:val="21"/>
        </w:rPr>
      </w:pPr>
      <w:r w:rsidRPr="002D1F48">
        <w:rPr>
          <w:b/>
          <w:bCs/>
          <w:color w:val="000000"/>
          <w:szCs w:val="21"/>
        </w:rPr>
        <w:t>以概念性综述的层次写成，辅以示例讲解，提供一套可供临床医生根据儿童个体情况灵活调整的工具。</w:t>
      </w:r>
    </w:p>
    <w:p w14:paraId="3E733F8E" w14:textId="77777777" w:rsidR="002D1F48" w:rsidRPr="0039755A" w:rsidRDefault="002D1F48" w:rsidP="00882F94">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21844FF7" w14:textId="185EFB9E" w:rsidR="002D1F48" w:rsidRDefault="002D1F48" w:rsidP="002D1F48">
      <w:pPr>
        <w:ind w:firstLineChars="200" w:firstLine="420"/>
        <w:rPr>
          <w:bCs/>
          <w:color w:val="000000"/>
          <w:szCs w:val="21"/>
        </w:rPr>
      </w:pPr>
      <w:r w:rsidRPr="002D1F48">
        <w:rPr>
          <w:bCs/>
          <w:color w:val="000000"/>
          <w:szCs w:val="21"/>
        </w:rPr>
        <w:t>《</w:t>
      </w:r>
      <w:r w:rsidR="0026667B" w:rsidRPr="0026667B">
        <w:rPr>
          <w:color w:val="000000"/>
          <w:szCs w:val="21"/>
        </w:rPr>
        <w:t>发育障碍儿童的行为问题：儿科医师指南</w:t>
      </w:r>
      <w:r w:rsidRPr="002D1F48">
        <w:rPr>
          <w:bCs/>
          <w:color w:val="000000"/>
          <w:szCs w:val="21"/>
        </w:rPr>
        <w:t>》旨在帮助儿科医生更好地理解和处理发育障碍儿童及青少年的行为问题。这类</w:t>
      </w:r>
      <w:r w:rsidR="0026667B">
        <w:rPr>
          <w:rFonts w:hint="eastAsia"/>
          <w:bCs/>
          <w:color w:val="000000"/>
          <w:szCs w:val="21"/>
        </w:rPr>
        <w:t>问题</w:t>
      </w:r>
      <w:r w:rsidRPr="002D1F48">
        <w:rPr>
          <w:bCs/>
          <w:color w:val="000000"/>
          <w:szCs w:val="21"/>
        </w:rPr>
        <w:t>十分常见，但在儿科培训中往往涉及不足，因此在实际工作中常常难以应对。</w:t>
      </w:r>
    </w:p>
    <w:p w14:paraId="542C67C1" w14:textId="77777777" w:rsidR="0026667B" w:rsidRPr="002D1F48" w:rsidRDefault="0026667B" w:rsidP="002D1F48">
      <w:pPr>
        <w:ind w:firstLineChars="200" w:firstLine="420"/>
        <w:rPr>
          <w:bCs/>
          <w:color w:val="000000"/>
          <w:szCs w:val="21"/>
        </w:rPr>
      </w:pPr>
    </w:p>
    <w:p w14:paraId="6BFC888D" w14:textId="77777777" w:rsidR="002D1F48" w:rsidRDefault="002D1F48" w:rsidP="002D1F48">
      <w:pPr>
        <w:ind w:firstLineChars="200" w:firstLine="420"/>
        <w:rPr>
          <w:bCs/>
          <w:color w:val="000000"/>
          <w:szCs w:val="21"/>
        </w:rPr>
      </w:pPr>
      <w:r w:rsidRPr="002D1F48">
        <w:rPr>
          <w:bCs/>
          <w:color w:val="000000"/>
          <w:szCs w:val="21"/>
        </w:rPr>
        <w:t>其中一个关键难题在于：如何判断儿童的行为究竟主要源于大脑发育差异，还是更多受到其所处环境和个人经历的塑造。传统的诊断标签未必总能提供清晰的指引。本书正是为了弥合精神病学与儿科学之间的这一鸿沟而写，提供了实用的工具与见解。</w:t>
      </w:r>
    </w:p>
    <w:p w14:paraId="66D77B67" w14:textId="77777777" w:rsidR="0026667B" w:rsidRPr="002D1F48" w:rsidRDefault="0026667B" w:rsidP="002D1F48">
      <w:pPr>
        <w:ind w:firstLineChars="200" w:firstLine="420"/>
        <w:rPr>
          <w:bCs/>
          <w:color w:val="000000"/>
          <w:szCs w:val="21"/>
        </w:rPr>
      </w:pPr>
    </w:p>
    <w:p w14:paraId="520F708C" w14:textId="23EE7E1C" w:rsidR="002D1F48" w:rsidRPr="002D1F48" w:rsidRDefault="002D1F48" w:rsidP="002D1F48">
      <w:pPr>
        <w:ind w:firstLineChars="200" w:firstLine="420"/>
        <w:rPr>
          <w:bCs/>
          <w:color w:val="000000"/>
          <w:szCs w:val="21"/>
        </w:rPr>
      </w:pPr>
      <w:r w:rsidRPr="002D1F48">
        <w:rPr>
          <w:bCs/>
          <w:color w:val="000000"/>
          <w:szCs w:val="21"/>
        </w:rPr>
        <w:t>书中讨论了如何在具体情境中评估儿童，如何理解其能力与生活经验，以及如何建立一种灵活而不断发展的行为理解框架。它还提供了一套行为管理工具，包括儿科医生可以自行采取的措施，以及与其他专业人员高效协作</w:t>
      </w:r>
      <w:r w:rsidR="0026667B" w:rsidRPr="002D1F48">
        <w:rPr>
          <w:bCs/>
          <w:color w:val="000000"/>
          <w:szCs w:val="21"/>
        </w:rPr>
        <w:t>的措施</w:t>
      </w:r>
      <w:r w:rsidRPr="002D1F48">
        <w:rPr>
          <w:bCs/>
          <w:color w:val="000000"/>
          <w:szCs w:val="21"/>
        </w:rPr>
        <w:t>。</w:t>
      </w:r>
    </w:p>
    <w:p w14:paraId="3EF240F1" w14:textId="77777777" w:rsidR="0026667B" w:rsidRDefault="0026667B" w:rsidP="002D1F48">
      <w:pPr>
        <w:ind w:firstLineChars="200" w:firstLine="420"/>
        <w:rPr>
          <w:bCs/>
          <w:color w:val="000000"/>
          <w:szCs w:val="21"/>
        </w:rPr>
      </w:pPr>
    </w:p>
    <w:p w14:paraId="355D9748" w14:textId="61AD2E15" w:rsidR="002D1F48" w:rsidRPr="002D1F48" w:rsidRDefault="002D1F48" w:rsidP="002D1F48">
      <w:pPr>
        <w:ind w:firstLineChars="200" w:firstLine="420"/>
        <w:rPr>
          <w:bCs/>
          <w:color w:val="000000"/>
          <w:szCs w:val="21"/>
        </w:rPr>
      </w:pPr>
      <w:r w:rsidRPr="002D1F48">
        <w:rPr>
          <w:bCs/>
          <w:color w:val="000000"/>
          <w:szCs w:val="21"/>
        </w:rPr>
        <w:t>书中通过真实案例展示了</w:t>
      </w:r>
      <w:r w:rsidR="0026667B" w:rsidRPr="002D1F48">
        <w:rPr>
          <w:bCs/>
          <w:color w:val="000000"/>
          <w:szCs w:val="21"/>
        </w:rPr>
        <w:t>发育障碍</w:t>
      </w:r>
      <w:r w:rsidRPr="002D1F48">
        <w:rPr>
          <w:bCs/>
          <w:color w:val="000000"/>
          <w:szCs w:val="21"/>
        </w:rPr>
        <w:t>，并在结尾从行为学视角审视若干具体的发育障碍情况。</w:t>
      </w:r>
    </w:p>
    <w:p w14:paraId="66F6CCCF" w14:textId="77777777" w:rsidR="005A4D6A" w:rsidRPr="002D1F48" w:rsidRDefault="005A4D6A" w:rsidP="00882F94">
      <w:pPr>
        <w:rPr>
          <w:bCs/>
          <w:color w:val="000000"/>
          <w:szCs w:val="21"/>
        </w:rPr>
      </w:pPr>
    </w:p>
    <w:p w14:paraId="318D2F48" w14:textId="77777777" w:rsidR="00C81704" w:rsidRDefault="00C81704"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59261632" w14:textId="77777777" w:rsidR="002D1F48" w:rsidRDefault="002D1F48" w:rsidP="00882F94">
      <w:pPr>
        <w:rPr>
          <w:b/>
          <w:bCs/>
          <w:color w:val="000000"/>
          <w:szCs w:val="21"/>
        </w:rPr>
      </w:pPr>
    </w:p>
    <w:p w14:paraId="68652D11" w14:textId="1A919EB4" w:rsidR="002D1F48" w:rsidRDefault="002D1F48" w:rsidP="002D1F48">
      <w:pPr>
        <w:ind w:firstLineChars="200" w:firstLine="422"/>
      </w:pPr>
      <w:r w:rsidRPr="000F2CA0">
        <w:rPr>
          <w:b/>
        </w:rPr>
        <w:t>斯图尔特</w:t>
      </w:r>
      <w:r w:rsidRPr="000F2CA0">
        <w:rPr>
          <w:b/>
        </w:rPr>
        <w:t>·</w:t>
      </w:r>
      <w:r w:rsidRPr="000F2CA0">
        <w:rPr>
          <w:b/>
        </w:rPr>
        <w:t>艾因费尔德教授（</w:t>
      </w:r>
      <w:r w:rsidRPr="000F2CA0">
        <w:rPr>
          <w:b/>
        </w:rPr>
        <w:t>Professor Stewart Einfeld</w:t>
      </w:r>
      <w:r w:rsidRPr="000F2CA0">
        <w:rPr>
          <w:b/>
        </w:rPr>
        <w:t>）</w:t>
      </w:r>
      <w:r w:rsidRPr="002D1F48">
        <w:t>长期致力于发育障碍儿童及其家庭的照护工作。他的研究主要集中于影响这类儿童的行为问题领域，已发表相关论文和著作</w:t>
      </w:r>
      <w:r w:rsidRPr="002D1F48">
        <w:t>215</w:t>
      </w:r>
      <w:r w:rsidR="0026667B">
        <w:rPr>
          <w:rFonts w:hint="eastAsia"/>
        </w:rPr>
        <w:t>余</w:t>
      </w:r>
      <w:r w:rsidRPr="002D1F48">
        <w:t>篇（部），内容涵盖流行病学、评估、遗传综合征的行为表型以及治疗等方面。由他合作编写的《发育行为核查表》（</w:t>
      </w:r>
      <w:r w:rsidRPr="002D1F48">
        <w:rPr>
          <w:i/>
          <w:iCs/>
        </w:rPr>
        <w:t xml:space="preserve">Developmental </w:t>
      </w:r>
      <w:proofErr w:type="spellStart"/>
      <w:r w:rsidRPr="002D1F48">
        <w:rPr>
          <w:i/>
          <w:iCs/>
        </w:rPr>
        <w:t>Behaviour</w:t>
      </w:r>
      <w:proofErr w:type="spellEnd"/>
      <w:r w:rsidRPr="002D1F48">
        <w:rPr>
          <w:i/>
          <w:iCs/>
        </w:rPr>
        <w:t xml:space="preserve"> Checklist</w:t>
      </w:r>
      <w:r w:rsidRPr="002D1F48">
        <w:t>）已被译成</w:t>
      </w:r>
      <w:r w:rsidRPr="002D1F48">
        <w:t>20</w:t>
      </w:r>
      <w:r w:rsidRPr="002D1F48">
        <w:t>种语言。他还主持了</w:t>
      </w:r>
      <w:r w:rsidR="0026667B">
        <w:rPr>
          <w:rFonts w:hint="eastAsia"/>
        </w:rPr>
        <w:t>“</w:t>
      </w:r>
      <w:r w:rsidRPr="002D1F48">
        <w:t>澳大利亚儿童至成人发展研究</w:t>
      </w:r>
      <w:r w:rsidR="0026667B">
        <w:rPr>
          <w:rFonts w:hint="eastAsia"/>
        </w:rPr>
        <w:t>”</w:t>
      </w:r>
      <w:r w:rsidRPr="002D1F48">
        <w:t>（</w:t>
      </w:r>
      <w:r w:rsidRPr="002D1F48">
        <w:t>Australian Child to Adult Development Study</w:t>
      </w:r>
      <w:r w:rsidRPr="002D1F48">
        <w:t>），一项持续</w:t>
      </w:r>
      <w:r w:rsidRPr="002D1F48">
        <w:t>20</w:t>
      </w:r>
      <w:r w:rsidRPr="002D1F48">
        <w:t>年、涵盖</w:t>
      </w:r>
      <w:r w:rsidRPr="002D1F48">
        <w:t>800</w:t>
      </w:r>
      <w:r w:rsidRPr="002D1F48">
        <w:t>余名智力障碍和孤独症儿童的纵向研究。</w:t>
      </w:r>
    </w:p>
    <w:p w14:paraId="3BD136C9" w14:textId="77777777" w:rsidR="002D1F48" w:rsidRPr="002D1F48" w:rsidRDefault="002D1F48" w:rsidP="002D1F48"/>
    <w:p w14:paraId="0C7ED32D" w14:textId="47253C68" w:rsidR="002D1F48" w:rsidRDefault="002D1F48" w:rsidP="002D1F48">
      <w:pPr>
        <w:ind w:firstLineChars="200" w:firstLine="422"/>
      </w:pPr>
      <w:r w:rsidRPr="000F2CA0">
        <w:rPr>
          <w:b/>
        </w:rPr>
        <w:t>麦克道尔博士（</w:t>
      </w:r>
      <w:r w:rsidRPr="000F2CA0">
        <w:rPr>
          <w:b/>
        </w:rPr>
        <w:t>Dr McDowell</w:t>
      </w:r>
      <w:r w:rsidRPr="000F2CA0">
        <w:rPr>
          <w:b/>
        </w:rPr>
        <w:t>）</w:t>
      </w:r>
      <w:r w:rsidRPr="002D1F48">
        <w:t>的</w:t>
      </w:r>
      <w:r w:rsidR="0026667B">
        <w:rPr>
          <w:rFonts w:hint="eastAsia"/>
        </w:rPr>
        <w:t>研究</w:t>
      </w:r>
      <w:r w:rsidRPr="002D1F48">
        <w:t>主要聚焦于临床服务。他曾任澳大拉西亚发育儿科学会（</w:t>
      </w:r>
      <w:r w:rsidRPr="002D1F48">
        <w:t xml:space="preserve">Australasian Society for Developmental </w:t>
      </w:r>
      <w:proofErr w:type="spellStart"/>
      <w:r w:rsidRPr="002D1F48">
        <w:t>Paediatrics</w:t>
      </w:r>
      <w:proofErr w:type="spellEnd"/>
      <w:r w:rsidRPr="002D1F48">
        <w:t>, ASDP.au</w:t>
      </w:r>
      <w:r w:rsidRPr="002D1F48">
        <w:t>）创会主席，该学会是这一专业实践领域的主要学术团体。麦克道尔博士曾在波士顿儿童医院（接受培训，并在哈佛大学（</w:t>
      </w:r>
      <w:r w:rsidRPr="002D1F48">
        <w:t>Harvard</w:t>
      </w:r>
      <w:r w:rsidRPr="002D1F48">
        <w:t>）获得硕士学位，在昆士兰大学获得博士学位。除临床工作外，他还长期从事倡导、教学与培训工作，并在发育儿科学领域发表了大量成果。</w:t>
      </w:r>
    </w:p>
    <w:p w14:paraId="0FA47424" w14:textId="77777777" w:rsidR="002D1F48" w:rsidRPr="002D1F48" w:rsidRDefault="002D1F48" w:rsidP="002D1F48"/>
    <w:p w14:paraId="78780B55" w14:textId="7FE6CD59" w:rsidR="002D1F48" w:rsidRPr="002D1F48" w:rsidRDefault="002D1F48" w:rsidP="002D1F48">
      <w:pPr>
        <w:ind w:firstLineChars="200" w:firstLine="422"/>
      </w:pPr>
      <w:r w:rsidRPr="000F2CA0">
        <w:rPr>
          <w:b/>
        </w:rPr>
        <w:t>阿德里安</w:t>
      </w:r>
      <w:r w:rsidRPr="000F2CA0">
        <w:rPr>
          <w:b/>
        </w:rPr>
        <w:t>·</w:t>
      </w:r>
      <w:r w:rsidRPr="000F2CA0">
        <w:rPr>
          <w:b/>
        </w:rPr>
        <w:t>桑德勒博士（</w:t>
      </w:r>
      <w:r w:rsidRPr="000F2CA0">
        <w:rPr>
          <w:b/>
        </w:rPr>
        <w:t>Dr Adrian Sandler</w:t>
      </w:r>
      <w:r w:rsidRPr="000F2CA0">
        <w:rPr>
          <w:b/>
        </w:rPr>
        <w:t>）</w:t>
      </w:r>
      <w:r w:rsidRPr="002D1F48">
        <w:t>曾就读于英国剑桥大学，并于</w:t>
      </w:r>
      <w:r w:rsidRPr="002D1F48">
        <w:t>1982</w:t>
      </w:r>
      <w:r w:rsidRPr="002D1F48">
        <w:t>年获得本科学位和医学学位。他在杜克大学医学中心（</w:t>
      </w:r>
      <w:r w:rsidRPr="002D1F48">
        <w:t>Duke University Medical Center</w:t>
      </w:r>
      <w:r w:rsidRPr="002D1F48">
        <w:t>）完成儿科住院医师培训，随后在北卡罗来纳大学教堂山分校完成专科进修培训。</w:t>
      </w:r>
      <w:r w:rsidRPr="002D1F48">
        <w:t>1990</w:t>
      </w:r>
      <w:r w:rsidRPr="002D1F48">
        <w:t>年至</w:t>
      </w:r>
      <w:r w:rsidRPr="002D1F48">
        <w:t>1994</w:t>
      </w:r>
      <w:r w:rsidRPr="002D1F48">
        <w:t>年间，他负责多学科门诊，服务对象为脊柱裂及其他相关疾病儿童。</w:t>
      </w:r>
      <w:r w:rsidRPr="002D1F48">
        <w:t>1994</w:t>
      </w:r>
      <w:r w:rsidRPr="002D1F48">
        <w:t>年至</w:t>
      </w:r>
      <w:r w:rsidRPr="002D1F48">
        <w:t>2021</w:t>
      </w:r>
      <w:r w:rsidRPr="002D1F48">
        <w:t>年，他担任北卡罗来纳州阿什维尔市奥尔森</w:t>
      </w:r>
      <w:r w:rsidRPr="002D1F48">
        <w:t>—</w:t>
      </w:r>
      <w:r w:rsidRPr="002D1F48">
        <w:t>赫夫中心（</w:t>
      </w:r>
      <w:r w:rsidRPr="002D1F48">
        <w:t>Olson Huff Center</w:t>
      </w:r>
      <w:r w:rsidRPr="002D1F48">
        <w:t>）医疗主任；该中心是面向残障儿童的区域性多学科机构，他在此提供临床服务，并参与项目发展与研究工作。</w:t>
      </w:r>
      <w:r w:rsidRPr="002D1F48">
        <w:t>2022</w:t>
      </w:r>
      <w:r w:rsidRPr="002D1F48">
        <w:t>年至</w:t>
      </w:r>
      <w:r w:rsidRPr="002D1F48">
        <w:t>2023</w:t>
      </w:r>
      <w:r w:rsidRPr="002D1F48">
        <w:t>年，他担任新加坡国立大学</w:t>
      </w:r>
      <w:r w:rsidR="0026667B" w:rsidRPr="002D1F48">
        <w:t xml:space="preserve"> </w:t>
      </w:r>
      <w:r w:rsidR="0026667B">
        <w:rPr>
          <w:rFonts w:hint="eastAsia"/>
        </w:rPr>
        <w:t>“</w:t>
      </w:r>
      <w:r w:rsidRPr="002D1F48">
        <w:t>CHILD</w:t>
      </w:r>
      <w:r w:rsidR="0026667B">
        <w:rPr>
          <w:rFonts w:hint="eastAsia"/>
        </w:rPr>
        <w:t>”</w:t>
      </w:r>
      <w:r w:rsidRPr="002D1F48">
        <w:t>早期儿童发展转化研究中心负责人。桑德勒博士还曾任发育与行为儿科学会（</w:t>
      </w:r>
      <w:r w:rsidRPr="002D1F48">
        <w:t>Society for Developmental and Behavioral Pediatrics</w:t>
      </w:r>
      <w:r w:rsidRPr="002D1F48">
        <w:t>）主席。该学会是一个国际性跨专业团体，致力于促进所有儿童的发展与行为健康。</w:t>
      </w:r>
    </w:p>
    <w:p w14:paraId="23535094" w14:textId="77777777" w:rsidR="0039755A" w:rsidRPr="004230C5" w:rsidRDefault="0039755A" w:rsidP="0026667B">
      <w:pPr>
        <w:shd w:val="clear" w:color="auto" w:fill="FFFFFF"/>
        <w:rPr>
          <w:b/>
          <w:color w:val="000000"/>
          <w:szCs w:val="21"/>
        </w:rPr>
      </w:pPr>
      <w:bookmarkStart w:id="0" w:name="OLE_LINK38"/>
      <w:bookmarkStart w:id="1" w:name="OLE_LINK43"/>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451321C3" w14:textId="77777777" w:rsidR="0039755A" w:rsidRDefault="0039755A" w:rsidP="00882F94">
      <w:pPr>
        <w:shd w:val="clear" w:color="auto" w:fill="FFFFFF"/>
        <w:rPr>
          <w:b/>
          <w:color w:val="000000"/>
          <w:szCs w:val="21"/>
        </w:rPr>
      </w:pPr>
    </w:p>
    <w:p w14:paraId="363CEF09" w14:textId="77777777" w:rsidR="002D1F48" w:rsidRPr="002D1F48" w:rsidRDefault="002D1F48" w:rsidP="002D1F48">
      <w:pPr>
        <w:numPr>
          <w:ilvl w:val="0"/>
          <w:numId w:val="43"/>
        </w:numPr>
        <w:shd w:val="clear" w:color="auto" w:fill="FFFFFF"/>
        <w:jc w:val="center"/>
        <w:rPr>
          <w:bCs/>
          <w:color w:val="000000"/>
          <w:szCs w:val="21"/>
        </w:rPr>
      </w:pPr>
      <w:r w:rsidRPr="002D1F48">
        <w:rPr>
          <w:bCs/>
          <w:color w:val="000000"/>
          <w:szCs w:val="21"/>
        </w:rPr>
        <w:t>儿科视角</w:t>
      </w:r>
    </w:p>
    <w:p w14:paraId="5AAAF818" w14:textId="77777777" w:rsidR="002D1F48" w:rsidRPr="002D1F48" w:rsidRDefault="002D1F48" w:rsidP="002D1F48">
      <w:pPr>
        <w:numPr>
          <w:ilvl w:val="0"/>
          <w:numId w:val="43"/>
        </w:numPr>
        <w:shd w:val="clear" w:color="auto" w:fill="FFFFFF"/>
        <w:jc w:val="center"/>
        <w:rPr>
          <w:bCs/>
          <w:color w:val="000000"/>
          <w:szCs w:val="21"/>
        </w:rPr>
      </w:pPr>
      <w:r w:rsidRPr="002D1F48">
        <w:rPr>
          <w:bCs/>
          <w:color w:val="000000"/>
          <w:szCs w:val="21"/>
        </w:rPr>
        <w:t>行为问题的成因</w:t>
      </w:r>
    </w:p>
    <w:p w14:paraId="6BFCAA06" w14:textId="77777777" w:rsidR="002D1F48" w:rsidRPr="002D1F48" w:rsidRDefault="002D1F48" w:rsidP="002D1F48">
      <w:pPr>
        <w:numPr>
          <w:ilvl w:val="0"/>
          <w:numId w:val="43"/>
        </w:numPr>
        <w:shd w:val="clear" w:color="auto" w:fill="FFFFFF"/>
        <w:jc w:val="center"/>
        <w:rPr>
          <w:bCs/>
          <w:color w:val="000000"/>
          <w:szCs w:val="21"/>
        </w:rPr>
      </w:pPr>
      <w:r w:rsidRPr="002D1F48">
        <w:rPr>
          <w:bCs/>
          <w:color w:val="000000"/>
          <w:szCs w:val="21"/>
        </w:rPr>
        <w:t>评估</w:t>
      </w:r>
    </w:p>
    <w:p w14:paraId="5713AB4E" w14:textId="77777777" w:rsidR="002D1F48" w:rsidRPr="002D1F48" w:rsidRDefault="002D1F48" w:rsidP="002D1F48">
      <w:pPr>
        <w:numPr>
          <w:ilvl w:val="0"/>
          <w:numId w:val="43"/>
        </w:numPr>
        <w:shd w:val="clear" w:color="auto" w:fill="FFFFFF"/>
        <w:jc w:val="center"/>
        <w:rPr>
          <w:bCs/>
          <w:color w:val="000000"/>
          <w:szCs w:val="21"/>
        </w:rPr>
      </w:pPr>
      <w:r w:rsidRPr="002D1F48">
        <w:rPr>
          <w:bCs/>
          <w:color w:val="000000"/>
          <w:szCs w:val="21"/>
        </w:rPr>
        <w:t>诊断，还是诊断性个案概念化？</w:t>
      </w:r>
    </w:p>
    <w:p w14:paraId="289FA43B" w14:textId="77777777" w:rsidR="002D1F48" w:rsidRPr="002D1F48" w:rsidRDefault="002D1F48" w:rsidP="002D1F48">
      <w:pPr>
        <w:numPr>
          <w:ilvl w:val="0"/>
          <w:numId w:val="43"/>
        </w:numPr>
        <w:shd w:val="clear" w:color="auto" w:fill="FFFFFF"/>
        <w:jc w:val="center"/>
        <w:rPr>
          <w:bCs/>
          <w:color w:val="000000"/>
          <w:szCs w:val="21"/>
        </w:rPr>
      </w:pPr>
      <w:r w:rsidRPr="002D1F48">
        <w:rPr>
          <w:bCs/>
          <w:color w:val="000000"/>
          <w:szCs w:val="21"/>
        </w:rPr>
        <w:t>管理</w:t>
      </w:r>
    </w:p>
    <w:p w14:paraId="0F6C3D8F" w14:textId="77777777" w:rsidR="002D1F48" w:rsidRPr="002D1F48" w:rsidRDefault="002D1F48" w:rsidP="002D1F48">
      <w:pPr>
        <w:numPr>
          <w:ilvl w:val="0"/>
          <w:numId w:val="43"/>
        </w:numPr>
        <w:shd w:val="clear" w:color="auto" w:fill="FFFFFF"/>
        <w:jc w:val="center"/>
        <w:rPr>
          <w:bCs/>
          <w:color w:val="000000"/>
          <w:szCs w:val="21"/>
        </w:rPr>
      </w:pPr>
      <w:r w:rsidRPr="002D1F48">
        <w:rPr>
          <w:bCs/>
          <w:color w:val="000000"/>
          <w:szCs w:val="21"/>
        </w:rPr>
        <w:t>综合征相关考量</w:t>
      </w:r>
    </w:p>
    <w:p w14:paraId="46824D6C" w14:textId="77777777" w:rsidR="002D1F48" w:rsidRPr="002D1F48" w:rsidRDefault="002D1F48" w:rsidP="002D1F48">
      <w:pPr>
        <w:numPr>
          <w:ilvl w:val="0"/>
          <w:numId w:val="43"/>
        </w:numPr>
        <w:shd w:val="clear" w:color="auto" w:fill="FFFFFF"/>
        <w:jc w:val="center"/>
        <w:rPr>
          <w:bCs/>
          <w:color w:val="000000"/>
          <w:szCs w:val="21"/>
        </w:rPr>
      </w:pPr>
      <w:r w:rsidRPr="002D1F48">
        <w:rPr>
          <w:bCs/>
          <w:color w:val="000000"/>
          <w:szCs w:val="21"/>
        </w:rPr>
        <w:t>案例</w:t>
      </w:r>
    </w:p>
    <w:p w14:paraId="244DD161" w14:textId="77777777" w:rsidR="0039755A" w:rsidRDefault="0039755A" w:rsidP="00882F94">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bookmarkStart w:id="2" w:name="_GoBack"/>
      <w:bookmarkEnd w:id="2"/>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lastRenderedPageBreak/>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CA759" w14:textId="77777777" w:rsidR="00523D0E" w:rsidRDefault="00523D0E">
      <w:r>
        <w:separator/>
      </w:r>
    </w:p>
  </w:endnote>
  <w:endnote w:type="continuationSeparator" w:id="0">
    <w:p w14:paraId="56FF89AB" w14:textId="77777777" w:rsidR="00523D0E" w:rsidRDefault="0052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53C03" w14:textId="77777777" w:rsidR="00523D0E" w:rsidRDefault="00523D0E">
      <w:r>
        <w:separator/>
      </w:r>
    </w:p>
  </w:footnote>
  <w:footnote w:type="continuationSeparator" w:id="0">
    <w:p w14:paraId="5E6A47BB" w14:textId="77777777" w:rsidR="00523D0E" w:rsidRDefault="00523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9B52706"/>
    <w:multiLevelType w:val="hybridMultilevel"/>
    <w:tmpl w:val="A8CE873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5540D66"/>
    <w:multiLevelType w:val="multilevel"/>
    <w:tmpl w:val="60B2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7"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40"/>
  </w:num>
  <w:num w:numId="10">
    <w:abstractNumId w:val="2"/>
  </w:num>
  <w:num w:numId="11">
    <w:abstractNumId w:val="1"/>
  </w:num>
  <w:num w:numId="12">
    <w:abstractNumId w:val="11"/>
  </w:num>
  <w:num w:numId="13">
    <w:abstractNumId w:val="30"/>
  </w:num>
  <w:num w:numId="14">
    <w:abstractNumId w:val="33"/>
  </w:num>
  <w:num w:numId="15">
    <w:abstractNumId w:val="15"/>
  </w:num>
  <w:num w:numId="16">
    <w:abstractNumId w:val="39"/>
  </w:num>
  <w:num w:numId="17">
    <w:abstractNumId w:val="14"/>
  </w:num>
  <w:num w:numId="18">
    <w:abstractNumId w:val="21"/>
  </w:num>
  <w:num w:numId="19">
    <w:abstractNumId w:val="6"/>
  </w:num>
  <w:num w:numId="20">
    <w:abstractNumId w:val="43"/>
  </w:num>
  <w:num w:numId="21">
    <w:abstractNumId w:val="37"/>
  </w:num>
  <w:num w:numId="22">
    <w:abstractNumId w:val="28"/>
  </w:num>
  <w:num w:numId="23">
    <w:abstractNumId w:val="3"/>
  </w:num>
  <w:num w:numId="24">
    <w:abstractNumId w:val="7"/>
  </w:num>
  <w:num w:numId="25">
    <w:abstractNumId w:val="38"/>
  </w:num>
  <w:num w:numId="26">
    <w:abstractNumId w:val="4"/>
  </w:num>
  <w:num w:numId="27">
    <w:abstractNumId w:val="17"/>
  </w:num>
  <w:num w:numId="28">
    <w:abstractNumId w:val="36"/>
  </w:num>
  <w:num w:numId="29">
    <w:abstractNumId w:val="41"/>
  </w:num>
  <w:num w:numId="30">
    <w:abstractNumId w:val="27"/>
  </w:num>
  <w:num w:numId="31">
    <w:abstractNumId w:val="34"/>
  </w:num>
  <w:num w:numId="32">
    <w:abstractNumId w:val="42"/>
  </w:num>
  <w:num w:numId="33">
    <w:abstractNumId w:val="9"/>
  </w:num>
  <w:num w:numId="34">
    <w:abstractNumId w:val="8"/>
  </w:num>
  <w:num w:numId="35">
    <w:abstractNumId w:val="13"/>
  </w:num>
  <w:num w:numId="36">
    <w:abstractNumId w:val="20"/>
  </w:num>
  <w:num w:numId="37">
    <w:abstractNumId w:val="10"/>
  </w:num>
  <w:num w:numId="38">
    <w:abstractNumId w:val="5"/>
  </w:num>
  <w:num w:numId="39">
    <w:abstractNumId w:val="0"/>
  </w:num>
  <w:num w:numId="40">
    <w:abstractNumId w:val="31"/>
  </w:num>
  <w:num w:numId="41">
    <w:abstractNumId w:val="18"/>
  </w:num>
  <w:num w:numId="42">
    <w:abstractNumId w:val="35"/>
  </w:num>
  <w:num w:numId="43">
    <w:abstractNumId w:val="3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2CA0"/>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6667B"/>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1F48"/>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3D0E"/>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0644"/>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6F360F"/>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4A57"/>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5A3"/>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D649C"/>
    <w:rsid w:val="00FE00CD"/>
    <w:rsid w:val="00FE0374"/>
    <w:rsid w:val="00FE1607"/>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C8C08-8FB1-4CAB-8510-3F0E53F1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1089</Words>
  <Characters>1590</Characters>
  <Application>Microsoft Office Word</Application>
  <DocSecurity>0</DocSecurity>
  <Lines>75</Lines>
  <Paragraphs>58</Paragraphs>
  <ScaleCrop>false</ScaleCrop>
  <Company>2ndSpAcE</Company>
  <LinksUpToDate>false</LinksUpToDate>
  <CharactersWithSpaces>2621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2026-04-08T10:30:00Z</dcterms:created>
  <dcterms:modified xsi:type="dcterms:W3CDTF">2026-04-13T05:48:00Z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