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r>
        <w:rPr>
          <w:b/>
          <w:bCs/>
          <w:szCs w:val="21"/>
          <w:highlight w:val="none"/>
        </w:rPr>
        <w:drawing>
          <wp:anchor distT="0" distB="0" distL="114300" distR="114300" simplePos="0" relativeHeight="251659264" behindDoc="0" locked="0" layoutInCell="1" allowOverlap="1">
            <wp:simplePos x="0" y="0"/>
            <wp:positionH relativeFrom="column">
              <wp:posOffset>3886835</wp:posOffset>
            </wp:positionH>
            <wp:positionV relativeFrom="paragraph">
              <wp:posOffset>57785</wp:posOffset>
            </wp:positionV>
            <wp:extent cx="1346200" cy="1983105"/>
            <wp:effectExtent l="0" t="0" r="10160" b="13335"/>
            <wp:wrapSquare wrapText="bothSides"/>
            <wp:docPr id="1" name="图片 39" descr="C:/Users/lenovo/Desktop/屏幕截图 2026-04-13 215001.png屏幕截图 2026-04-13 21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4-13 215001.png屏幕截图 2026-04-13 215001"/>
                    <pic:cNvPicPr>
                      <a:picLocks noChangeAspect="1"/>
                    </pic:cNvPicPr>
                  </pic:nvPicPr>
                  <pic:blipFill>
                    <a:blip r:embed="rId6"/>
                    <a:srcRect t="712" b="712"/>
                    <a:stretch>
                      <a:fillRect/>
                    </a:stretch>
                  </pic:blipFill>
                  <pic:spPr>
                    <a:xfrm>
                      <a:off x="0" y="0"/>
                      <a:ext cx="1346200" cy="1983105"/>
                    </a:xfrm>
                    <a:prstGeom prst="rect">
                      <a:avLst/>
                    </a:prstGeom>
                    <a:noFill/>
                    <a:ln>
                      <a:noFill/>
                    </a:ln>
                  </pic:spPr>
                </pic:pic>
              </a:graphicData>
            </a:graphic>
          </wp:anchor>
        </w:drawing>
      </w:r>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市场设计新前沿</w:t>
      </w:r>
      <w:r>
        <w:rPr>
          <w:rFonts w:hint="eastAsia"/>
          <w:b/>
          <w:bCs/>
          <w:szCs w:val="21"/>
          <w:highlight w:val="none"/>
          <w:lang w:val="en-US" w:eastAsia="zh-CN"/>
        </w:rPr>
        <w:t>》</w:t>
      </w:r>
    </w:p>
    <w:p w14:paraId="139DC89A">
      <w:pPr>
        <w:tabs>
          <w:tab w:val="left" w:pos="341"/>
          <w:tab w:val="left" w:pos="5235"/>
        </w:tabs>
        <w:jc w:val="left"/>
        <w:rPr>
          <w:rFonts w:hint="eastAsia"/>
          <w:b/>
          <w:bCs/>
          <w:i/>
          <w:iCs w:val="0"/>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New Directions in Market Design</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Irene Lo, Michael Ostrovsky, Parag A. Pathak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3729B345">
      <w:pPr>
        <w:tabs>
          <w:tab w:val="left" w:pos="341"/>
          <w:tab w:val="left" w:pos="5235"/>
        </w:tabs>
        <w:rPr>
          <w:rFonts w:hint="default"/>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University of Chicago Press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240页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2月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val="en-US" w:eastAsia="zh-CN"/>
        </w:rPr>
      </w:pPr>
      <w:r>
        <w:rPr>
          <w:b/>
          <w:bCs/>
          <w:szCs w:val="21"/>
          <w:highlight w:val="none"/>
        </w:rPr>
        <w:t>审读资料：</w:t>
      </w:r>
      <w:r>
        <w:rPr>
          <w:rFonts w:hint="eastAsia"/>
          <w:b/>
          <w:bCs/>
          <w:szCs w:val="21"/>
          <w:highlight w:val="none"/>
          <w:lang w:val="en-US" w:eastAsia="zh-CN"/>
        </w:rPr>
        <w:t>电子稿</w:t>
      </w:r>
      <w:bookmarkStart w:id="1" w:name="_GoBack"/>
      <w:bookmarkEnd w:id="1"/>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社会科学</w:t>
      </w:r>
    </w:p>
    <w:p w14:paraId="026FDD9E">
      <w:pPr>
        <w:rPr>
          <w:rFonts w:hint="eastAsia" w:ascii="Arial" w:hAnsi="Arial" w:cs="Arial"/>
          <w:b/>
          <w:bCs/>
          <w:color w:val="000000"/>
          <w:spacing w:val="-3"/>
          <w:sz w:val="11"/>
          <w:szCs w:val="11"/>
          <w:shd w:val="clear" w:color="auto" w:fill="FFFFFF"/>
        </w:rPr>
      </w:pPr>
    </w:p>
    <w:p w14:paraId="5E919406">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23F0F677">
      <w:pPr>
        <w:ind w:firstLine="420" w:firstLineChars="200"/>
        <w:rPr>
          <w:rFonts w:hint="eastAsia"/>
          <w:bCs/>
          <w:kern w:val="0"/>
          <w:szCs w:val="21"/>
        </w:rPr>
      </w:pPr>
      <w:r>
        <w:rPr>
          <w:rFonts w:hint="eastAsia"/>
          <w:bCs/>
          <w:kern w:val="0"/>
          <w:szCs w:val="21"/>
        </w:rPr>
        <w:t>二十世纪九十年代中期，首次联邦通信委员会频谱拍卖以及全国住院医师匹配项目的重新设计，共同推动了市场设计领域的起步。自那时起，广泛的研究不仅改进了拍卖设计，还在解决多智能体匹配问题上开辟了新的概念领域。本卷总结了过去三十年间市场设计领域的关键发现与进展，并探讨了当代面临的挑战——从气候政策和电力市场，到人工智能中介的交换及医院资源配置。</w:t>
      </w:r>
    </w:p>
    <w:p w14:paraId="50F274EC">
      <w:pPr>
        <w:ind w:firstLine="420" w:firstLineChars="200"/>
        <w:rPr>
          <w:rFonts w:hint="eastAsia"/>
          <w:bCs/>
          <w:kern w:val="0"/>
          <w:szCs w:val="21"/>
        </w:rPr>
      </w:pPr>
    </w:p>
    <w:p w14:paraId="6180FB91">
      <w:pPr>
        <w:ind w:firstLine="420" w:firstLineChars="200"/>
        <w:rPr>
          <w:rFonts w:hint="eastAsia"/>
          <w:bCs/>
          <w:kern w:val="0"/>
          <w:szCs w:val="21"/>
        </w:rPr>
      </w:pPr>
      <w:r>
        <w:rPr>
          <w:rFonts w:hint="eastAsia"/>
          <w:bCs/>
          <w:kern w:val="0"/>
          <w:szCs w:val="21"/>
        </w:rPr>
        <w:t>撰稿人探讨了如何设计高效、激励相容且能适应变化条件和日益复杂性的机制。他们考虑了众多可能从市场设计视角受益的应用，例如环境市场、学校选择和器官交换。各章节共同阐释了经济理论、计算工具与制度洞见之间的重要互动。</w:t>
      </w:r>
    </w:p>
    <w:p w14:paraId="45385E7A">
      <w:pPr>
        <w:ind w:firstLine="420" w:firstLineChars="200"/>
        <w:rPr>
          <w:rFonts w:hint="eastAsia"/>
          <w:bCs/>
          <w:kern w:val="0"/>
          <w:szCs w:val="21"/>
          <w:lang w:val="en-US" w:eastAsia="zh-CN"/>
        </w:rPr>
      </w:pPr>
    </w:p>
    <w:p w14:paraId="6594C28D">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5831EFA4">
      <w:pPr>
        <w:ind w:right="420" w:firstLine="422" w:firstLineChars="200"/>
        <w:jc w:val="left"/>
        <w:rPr>
          <w:rFonts w:hint="eastAsia"/>
          <w:b/>
          <w:bCs/>
          <w:color w:val="000000"/>
          <w:szCs w:val="21"/>
          <w:lang w:val="en-US" w:eastAsia="zh-CN"/>
        </w:rPr>
      </w:pPr>
      <w:r>
        <w:rPr>
          <w:rFonts w:hint="eastAsia"/>
          <w:b/>
          <w:bCs/>
          <w:color w:val="000000"/>
          <w:szCs w:val="21"/>
          <w:lang w:val="en-US" w:eastAsia="zh-CN"/>
        </w:rPr>
        <w:t>艾琳·罗（</w:t>
      </w:r>
      <w:r>
        <w:rPr>
          <w:rFonts w:hint="eastAsia"/>
          <w:b/>
          <w:bCs/>
          <w:color w:val="000000"/>
          <w:szCs w:val="21"/>
          <w:highlight w:val="none"/>
        </w:rPr>
        <w:t>Irene Lo</w:t>
      </w:r>
      <w:r>
        <w:rPr>
          <w:rFonts w:hint="eastAsia"/>
          <w:b/>
          <w:bCs/>
          <w:color w:val="000000"/>
          <w:szCs w:val="21"/>
          <w:lang w:val="en-US" w:eastAsia="zh-CN"/>
        </w:rPr>
        <w:t>）</w:t>
      </w:r>
      <w:r>
        <w:rPr>
          <w:rFonts w:hint="eastAsia"/>
          <w:b w:val="0"/>
          <w:bCs w:val="0"/>
          <w:color w:val="000000"/>
          <w:szCs w:val="21"/>
          <w:lang w:val="en-US" w:eastAsia="zh-CN"/>
        </w:rPr>
        <w:t>是斯坦福大学管理科学与工程系助理教授。</w:t>
      </w:r>
    </w:p>
    <w:p w14:paraId="3749936D">
      <w:pPr>
        <w:ind w:right="420"/>
        <w:jc w:val="left"/>
        <w:rPr>
          <w:rFonts w:hint="eastAsia"/>
          <w:b/>
          <w:bCs/>
          <w:color w:val="000000"/>
          <w:szCs w:val="21"/>
          <w:lang w:val="en-US" w:eastAsia="zh-CN"/>
        </w:rPr>
      </w:pPr>
    </w:p>
    <w:p w14:paraId="31C400E8">
      <w:pPr>
        <w:ind w:right="420" w:firstLine="422" w:firstLineChars="200"/>
        <w:jc w:val="left"/>
        <w:rPr>
          <w:rFonts w:hint="eastAsia"/>
          <w:b/>
          <w:bCs/>
          <w:color w:val="000000"/>
          <w:szCs w:val="21"/>
          <w:lang w:val="en-US" w:eastAsia="zh-CN"/>
        </w:rPr>
      </w:pPr>
      <w:r>
        <w:rPr>
          <w:rFonts w:hint="eastAsia"/>
          <w:b/>
          <w:bCs/>
          <w:color w:val="000000"/>
          <w:szCs w:val="21"/>
          <w:lang w:val="en-US" w:eastAsia="zh-CN"/>
        </w:rPr>
        <w:t>迈克尔·奥斯特罗夫斯基（</w:t>
      </w:r>
      <w:r>
        <w:rPr>
          <w:rFonts w:hint="eastAsia"/>
          <w:b/>
          <w:bCs/>
          <w:color w:val="000000"/>
          <w:szCs w:val="21"/>
          <w:highlight w:val="none"/>
        </w:rPr>
        <w:t>Michael Ostrovsky</w:t>
      </w:r>
      <w:r>
        <w:rPr>
          <w:rFonts w:hint="eastAsia"/>
          <w:b/>
          <w:bCs/>
          <w:color w:val="000000"/>
          <w:szCs w:val="21"/>
          <w:lang w:val="en-US" w:eastAsia="zh-CN"/>
        </w:rPr>
        <w:t>）</w:t>
      </w:r>
      <w:r>
        <w:rPr>
          <w:rFonts w:hint="eastAsia"/>
          <w:b w:val="0"/>
          <w:bCs w:val="0"/>
          <w:color w:val="000000"/>
          <w:szCs w:val="21"/>
          <w:lang w:val="en-US" w:eastAsia="zh-CN"/>
        </w:rPr>
        <w:t>是斯坦福大学商学研究生院弗雷德·H·梅里尔经济学教授，也是美国国家经济研究局的研究员。</w:t>
      </w:r>
    </w:p>
    <w:p w14:paraId="5C43ADB3">
      <w:pPr>
        <w:ind w:right="420"/>
        <w:jc w:val="left"/>
        <w:rPr>
          <w:rFonts w:hint="eastAsia"/>
          <w:b/>
          <w:bCs/>
          <w:color w:val="000000"/>
          <w:szCs w:val="21"/>
          <w:lang w:val="en-US" w:eastAsia="zh-CN"/>
        </w:rPr>
      </w:pPr>
    </w:p>
    <w:p w14:paraId="65A7C7E0">
      <w:pPr>
        <w:ind w:right="420" w:firstLine="422" w:firstLineChars="200"/>
        <w:jc w:val="left"/>
        <w:rPr>
          <w:rFonts w:hint="eastAsia"/>
          <w:b w:val="0"/>
          <w:bCs w:val="0"/>
          <w:color w:val="000000"/>
          <w:szCs w:val="21"/>
          <w:lang w:val="en-US" w:eastAsia="zh-CN"/>
        </w:rPr>
      </w:pPr>
      <w:r>
        <w:rPr>
          <w:rFonts w:hint="eastAsia"/>
          <w:b/>
          <w:bCs/>
          <w:color w:val="000000"/>
          <w:szCs w:val="21"/>
          <w:lang w:val="en-US" w:eastAsia="zh-CN"/>
        </w:rPr>
        <w:t>帕拉格·A·帕塔克（</w:t>
      </w:r>
      <w:r>
        <w:rPr>
          <w:rFonts w:hint="eastAsia"/>
          <w:b/>
          <w:bCs/>
          <w:color w:val="000000"/>
          <w:szCs w:val="21"/>
          <w:highlight w:val="none"/>
        </w:rPr>
        <w:t>Parag A. Pathak</w:t>
      </w:r>
      <w:r>
        <w:rPr>
          <w:rFonts w:hint="eastAsia"/>
          <w:b/>
          <w:bCs/>
          <w:color w:val="000000"/>
          <w:szCs w:val="21"/>
          <w:lang w:val="en-US" w:eastAsia="zh-CN"/>
        </w:rPr>
        <w:t>）</w:t>
      </w:r>
      <w:r>
        <w:rPr>
          <w:rFonts w:hint="eastAsia"/>
          <w:b w:val="0"/>
          <w:bCs w:val="0"/>
          <w:color w:val="000000"/>
          <w:szCs w:val="21"/>
          <w:lang w:val="en-US" w:eastAsia="zh-CN"/>
        </w:rPr>
        <w:t>是麻省理工学院1922届经济学教授，同时也是该校蓝图实验室的创始人兼主任，以及美国国家经济研究局的研究员。</w:t>
      </w:r>
    </w:p>
    <w:p w14:paraId="7C94DD05">
      <w:pPr>
        <w:ind w:right="420" w:firstLine="420" w:firstLineChars="200"/>
        <w:jc w:val="left"/>
        <w:rPr>
          <w:rFonts w:hint="eastAsia"/>
          <w:b w:val="0"/>
          <w:bCs w:val="0"/>
          <w:color w:val="000000"/>
          <w:szCs w:val="21"/>
          <w:lang w:val="en-US" w:eastAsia="zh-CN"/>
        </w:rPr>
      </w:pPr>
    </w:p>
    <w:p w14:paraId="5977D54C">
      <w:pPr>
        <w:ind w:right="420" w:firstLine="420" w:firstLineChars="200"/>
        <w:jc w:val="left"/>
        <w:rPr>
          <w:rFonts w:hint="eastAsia"/>
          <w:b w:val="0"/>
          <w:bCs w:val="0"/>
          <w:color w:val="000000"/>
          <w:szCs w:val="21"/>
          <w:lang w:val="en-US" w:eastAsia="zh-CN"/>
        </w:rPr>
      </w:pPr>
    </w:p>
    <w:p w14:paraId="4FD53EC4">
      <w:pPr>
        <w:ind w:right="420"/>
        <w:jc w:val="left"/>
        <w:rPr>
          <w:rFonts w:hint="eastAsia"/>
          <w:b/>
          <w:bCs/>
          <w:color w:val="000000"/>
          <w:szCs w:val="21"/>
          <w:lang w:val="en-US" w:eastAsia="zh-CN"/>
        </w:rPr>
      </w:pPr>
      <w:r>
        <w:rPr>
          <w:rFonts w:hint="eastAsia"/>
          <w:b/>
          <w:bCs/>
          <w:color w:val="000000"/>
          <w:szCs w:val="21"/>
          <w:lang w:val="en-US" w:eastAsia="zh-CN"/>
        </w:rPr>
        <w:t>全书目录：</w:t>
      </w:r>
    </w:p>
    <w:p w14:paraId="618E739B">
      <w:pPr>
        <w:ind w:right="420"/>
        <w:jc w:val="left"/>
        <w:rPr>
          <w:rFonts w:hint="eastAsia"/>
          <w:b w:val="0"/>
          <w:bCs w:val="0"/>
          <w:color w:val="000000"/>
          <w:szCs w:val="21"/>
          <w:lang w:val="en-US" w:eastAsia="zh-CN"/>
        </w:rPr>
      </w:pPr>
    </w:p>
    <w:p w14:paraId="1E55312E">
      <w:pPr>
        <w:ind w:right="420"/>
        <w:jc w:val="left"/>
        <w:rPr>
          <w:rFonts w:hint="default"/>
          <w:b w:val="0"/>
          <w:bCs w:val="0"/>
          <w:color w:val="000000"/>
          <w:szCs w:val="21"/>
          <w:lang w:val="en-US" w:eastAsia="zh-CN"/>
        </w:rPr>
      </w:pPr>
      <w:r>
        <w:rPr>
          <w:rFonts w:hint="default"/>
          <w:b w:val="0"/>
          <w:bCs w:val="0"/>
          <w:color w:val="000000"/>
          <w:szCs w:val="21"/>
          <w:lang w:val="en-US" w:eastAsia="zh-CN"/>
        </w:rPr>
        <w:t>导言</w:t>
      </w:r>
    </w:p>
    <w:p w14:paraId="2C3BA2EA">
      <w:pPr>
        <w:ind w:right="420"/>
        <w:jc w:val="left"/>
        <w:rPr>
          <w:rFonts w:hint="default"/>
          <w:b w:val="0"/>
          <w:bCs w:val="0"/>
          <w:color w:val="000000"/>
          <w:szCs w:val="21"/>
          <w:lang w:val="en-US" w:eastAsia="zh-CN"/>
        </w:rPr>
      </w:pPr>
      <w:r>
        <w:rPr>
          <w:rFonts w:hint="default"/>
          <w:b w:val="0"/>
          <w:bCs w:val="0"/>
          <w:color w:val="000000"/>
          <w:szCs w:val="21"/>
          <w:lang w:val="en-US" w:eastAsia="zh-CN"/>
        </w:rPr>
        <w:t>艾琳·袁·罗、迈克尔·奥斯特罗夫斯基、帕拉格·A·帕塔克</w:t>
      </w:r>
    </w:p>
    <w:p w14:paraId="305ADE6D">
      <w:pPr>
        <w:ind w:right="420"/>
        <w:jc w:val="left"/>
        <w:rPr>
          <w:rFonts w:hint="default"/>
          <w:b w:val="0"/>
          <w:bCs w:val="0"/>
          <w:color w:val="000000"/>
          <w:szCs w:val="21"/>
          <w:lang w:val="en-US" w:eastAsia="zh-CN"/>
        </w:rPr>
      </w:pPr>
    </w:p>
    <w:p w14:paraId="2943AA5D">
      <w:pPr>
        <w:ind w:right="420"/>
        <w:jc w:val="left"/>
        <w:rPr>
          <w:rFonts w:hint="default"/>
          <w:b w:val="0"/>
          <w:bCs w:val="0"/>
          <w:color w:val="000000"/>
          <w:szCs w:val="21"/>
          <w:lang w:val="en-US" w:eastAsia="zh-CN"/>
        </w:rPr>
      </w:pPr>
      <w:r>
        <w:rPr>
          <w:rFonts w:hint="default"/>
          <w:b w:val="0"/>
          <w:bCs w:val="0"/>
          <w:color w:val="000000"/>
          <w:szCs w:val="21"/>
          <w:lang w:val="en-US" w:eastAsia="zh-CN"/>
        </w:rPr>
        <w:t>市场设计与维护</w:t>
      </w:r>
    </w:p>
    <w:p w14:paraId="166E3605">
      <w:pPr>
        <w:ind w:right="420"/>
        <w:jc w:val="left"/>
        <w:rPr>
          <w:rFonts w:hint="default"/>
          <w:b w:val="0"/>
          <w:bCs w:val="0"/>
          <w:color w:val="000000"/>
          <w:szCs w:val="21"/>
          <w:lang w:val="en-US" w:eastAsia="zh-CN"/>
        </w:rPr>
      </w:pPr>
      <w:r>
        <w:rPr>
          <w:rFonts w:hint="default"/>
          <w:b w:val="0"/>
          <w:bCs w:val="0"/>
          <w:color w:val="000000"/>
          <w:szCs w:val="21"/>
          <w:lang w:val="en-US" w:eastAsia="zh-CN"/>
        </w:rPr>
        <w:t>阿尔文·E·罗思</w:t>
      </w:r>
    </w:p>
    <w:p w14:paraId="4F077852">
      <w:pPr>
        <w:ind w:right="420"/>
        <w:jc w:val="left"/>
        <w:rPr>
          <w:rFonts w:hint="default"/>
          <w:b w:val="0"/>
          <w:bCs w:val="0"/>
          <w:color w:val="000000"/>
          <w:szCs w:val="21"/>
          <w:lang w:val="en-US" w:eastAsia="zh-CN"/>
        </w:rPr>
      </w:pPr>
    </w:p>
    <w:p w14:paraId="5F6F64CA">
      <w:pPr>
        <w:ind w:right="420"/>
        <w:jc w:val="left"/>
        <w:rPr>
          <w:rFonts w:hint="default"/>
          <w:b w:val="0"/>
          <w:bCs w:val="0"/>
          <w:color w:val="000000"/>
          <w:szCs w:val="21"/>
          <w:lang w:val="en-US" w:eastAsia="zh-CN"/>
        </w:rPr>
      </w:pPr>
      <w:r>
        <w:rPr>
          <w:rFonts w:hint="default"/>
          <w:b w:val="0"/>
          <w:bCs w:val="0"/>
          <w:color w:val="000000"/>
          <w:szCs w:val="21"/>
          <w:lang w:val="en-US" w:eastAsia="zh-CN"/>
        </w:rPr>
        <w:t>环境的市场设计</w:t>
      </w:r>
    </w:p>
    <w:p w14:paraId="713393BD">
      <w:pPr>
        <w:ind w:right="420"/>
        <w:jc w:val="left"/>
        <w:rPr>
          <w:rFonts w:hint="default"/>
          <w:b w:val="0"/>
          <w:bCs w:val="0"/>
          <w:color w:val="000000"/>
          <w:szCs w:val="21"/>
          <w:lang w:val="en-US" w:eastAsia="zh-CN"/>
        </w:rPr>
      </w:pPr>
      <w:r>
        <w:rPr>
          <w:rFonts w:hint="default"/>
          <w:b w:val="0"/>
          <w:bCs w:val="0"/>
          <w:color w:val="000000"/>
          <w:szCs w:val="21"/>
          <w:lang w:val="en-US" w:eastAsia="zh-CN"/>
        </w:rPr>
        <w:t>埃斯特尔·坎蒂隆、奥雷莉·斯莱希滕</w:t>
      </w:r>
    </w:p>
    <w:p w14:paraId="334BFA98">
      <w:pPr>
        <w:ind w:right="420"/>
        <w:jc w:val="left"/>
        <w:rPr>
          <w:rFonts w:hint="default"/>
          <w:b w:val="0"/>
          <w:bCs w:val="0"/>
          <w:color w:val="000000"/>
          <w:szCs w:val="21"/>
          <w:lang w:val="en-US" w:eastAsia="zh-CN"/>
        </w:rPr>
      </w:pPr>
    </w:p>
    <w:p w14:paraId="4AE951C3">
      <w:pPr>
        <w:ind w:right="420"/>
        <w:jc w:val="left"/>
        <w:rPr>
          <w:rFonts w:hint="default"/>
          <w:b w:val="0"/>
          <w:bCs w:val="0"/>
          <w:color w:val="000000"/>
          <w:szCs w:val="21"/>
          <w:lang w:val="en-US" w:eastAsia="zh-CN"/>
        </w:rPr>
      </w:pPr>
      <w:r>
        <w:rPr>
          <w:rFonts w:hint="default"/>
          <w:b w:val="0"/>
          <w:bCs w:val="0"/>
          <w:color w:val="000000"/>
          <w:szCs w:val="21"/>
          <w:lang w:val="en-US" w:eastAsia="zh-CN"/>
        </w:rPr>
        <w:t>地表水的市场设计</w:t>
      </w:r>
    </w:p>
    <w:p w14:paraId="2FF3B6D7">
      <w:pPr>
        <w:ind w:right="420"/>
        <w:jc w:val="left"/>
        <w:rPr>
          <w:rFonts w:hint="default"/>
          <w:b w:val="0"/>
          <w:bCs w:val="0"/>
          <w:color w:val="000000"/>
          <w:szCs w:val="21"/>
          <w:lang w:val="en-US" w:eastAsia="zh-CN"/>
        </w:rPr>
      </w:pPr>
      <w:r>
        <w:rPr>
          <w:rFonts w:hint="default"/>
          <w:b w:val="0"/>
          <w:bCs w:val="0"/>
          <w:color w:val="000000"/>
          <w:szCs w:val="21"/>
          <w:lang w:val="en-US" w:eastAsia="zh-CN"/>
        </w:rPr>
        <w:t>比利·A·弗格森、保罗·米尔格罗姆</w:t>
      </w:r>
    </w:p>
    <w:p w14:paraId="0F2CC238">
      <w:pPr>
        <w:ind w:right="420"/>
        <w:jc w:val="left"/>
        <w:rPr>
          <w:rFonts w:hint="default"/>
          <w:b w:val="0"/>
          <w:bCs w:val="0"/>
          <w:color w:val="000000"/>
          <w:szCs w:val="21"/>
          <w:lang w:val="en-US" w:eastAsia="zh-CN"/>
        </w:rPr>
      </w:pPr>
    </w:p>
    <w:p w14:paraId="69C11B9C">
      <w:pPr>
        <w:ind w:right="420"/>
        <w:jc w:val="left"/>
        <w:rPr>
          <w:rFonts w:hint="default"/>
          <w:b w:val="0"/>
          <w:bCs w:val="0"/>
          <w:color w:val="000000"/>
          <w:szCs w:val="21"/>
          <w:lang w:val="en-US" w:eastAsia="zh-CN"/>
        </w:rPr>
      </w:pPr>
      <w:r>
        <w:rPr>
          <w:rFonts w:hint="default"/>
          <w:b w:val="0"/>
          <w:bCs w:val="0"/>
          <w:color w:val="000000"/>
          <w:szCs w:val="21"/>
          <w:lang w:val="en-US" w:eastAsia="zh-CN"/>
        </w:rPr>
        <w:t>应对气候变化的市场塑造</w:t>
      </w:r>
    </w:p>
    <w:p w14:paraId="1BA10D22">
      <w:pPr>
        <w:ind w:right="420"/>
        <w:jc w:val="left"/>
        <w:rPr>
          <w:rFonts w:hint="default"/>
          <w:b w:val="0"/>
          <w:bCs w:val="0"/>
          <w:color w:val="000000"/>
          <w:szCs w:val="21"/>
          <w:lang w:val="en-US" w:eastAsia="zh-CN"/>
        </w:rPr>
      </w:pPr>
      <w:r>
        <w:rPr>
          <w:rFonts w:hint="default"/>
          <w:b w:val="0"/>
          <w:bCs w:val="0"/>
          <w:color w:val="000000"/>
          <w:szCs w:val="21"/>
          <w:lang w:val="en-US" w:eastAsia="zh-CN"/>
        </w:rPr>
        <w:t>威廉·阿内森、雷切尔·格伦纳斯特</w:t>
      </w:r>
    </w:p>
    <w:p w14:paraId="431F3E7C">
      <w:pPr>
        <w:ind w:right="420"/>
        <w:jc w:val="left"/>
        <w:rPr>
          <w:rFonts w:hint="default"/>
          <w:b w:val="0"/>
          <w:bCs w:val="0"/>
          <w:color w:val="000000"/>
          <w:szCs w:val="21"/>
          <w:lang w:val="en-US" w:eastAsia="zh-CN"/>
        </w:rPr>
      </w:pPr>
    </w:p>
    <w:p w14:paraId="3B98BA8C">
      <w:pPr>
        <w:ind w:right="420"/>
        <w:jc w:val="left"/>
        <w:rPr>
          <w:rFonts w:hint="default"/>
          <w:b w:val="0"/>
          <w:bCs w:val="0"/>
          <w:color w:val="000000"/>
          <w:szCs w:val="21"/>
          <w:lang w:val="en-US" w:eastAsia="zh-CN"/>
        </w:rPr>
      </w:pPr>
      <w:r>
        <w:rPr>
          <w:rFonts w:hint="default"/>
          <w:b w:val="0"/>
          <w:bCs w:val="0"/>
          <w:color w:val="000000"/>
          <w:szCs w:val="21"/>
          <w:lang w:val="en-US" w:eastAsia="zh-CN"/>
        </w:rPr>
        <w:t>设计电力现货市场的挑战</w:t>
      </w:r>
    </w:p>
    <w:p w14:paraId="32A718C3">
      <w:pPr>
        <w:ind w:right="420"/>
        <w:jc w:val="left"/>
        <w:rPr>
          <w:rFonts w:hint="default"/>
          <w:b w:val="0"/>
          <w:bCs w:val="0"/>
          <w:color w:val="000000"/>
          <w:szCs w:val="21"/>
          <w:lang w:val="en-US" w:eastAsia="zh-CN"/>
        </w:rPr>
      </w:pPr>
      <w:r>
        <w:rPr>
          <w:rFonts w:hint="default"/>
          <w:b w:val="0"/>
          <w:bCs w:val="0"/>
          <w:color w:val="000000"/>
          <w:szCs w:val="21"/>
          <w:lang w:val="en-US" w:eastAsia="zh-CN"/>
        </w:rPr>
        <w:t>梅泰·谢雷夫·阿洪巴伊、马丁·比希勒、约翰内斯·克内尔</w:t>
      </w:r>
    </w:p>
    <w:p w14:paraId="5BDBD1E3">
      <w:pPr>
        <w:ind w:right="420"/>
        <w:jc w:val="left"/>
        <w:rPr>
          <w:rFonts w:hint="default"/>
          <w:b w:val="0"/>
          <w:bCs w:val="0"/>
          <w:color w:val="000000"/>
          <w:szCs w:val="21"/>
          <w:lang w:val="en-US" w:eastAsia="zh-CN"/>
        </w:rPr>
      </w:pPr>
    </w:p>
    <w:p w14:paraId="20D4CCF9">
      <w:pPr>
        <w:ind w:right="420"/>
        <w:jc w:val="left"/>
        <w:rPr>
          <w:rFonts w:hint="default"/>
          <w:b w:val="0"/>
          <w:bCs w:val="0"/>
          <w:color w:val="000000"/>
          <w:szCs w:val="21"/>
          <w:lang w:val="en-US" w:eastAsia="zh-CN"/>
        </w:rPr>
      </w:pPr>
      <w:r>
        <w:rPr>
          <w:rFonts w:hint="default"/>
          <w:b w:val="0"/>
          <w:bCs w:val="0"/>
          <w:color w:val="000000"/>
          <w:szCs w:val="21"/>
          <w:lang w:val="en-US" w:eastAsia="zh-CN"/>
        </w:rPr>
        <w:t>人工智能与市场设计：从无线电频谱再分配中吸取的教训</w:t>
      </w:r>
    </w:p>
    <w:p w14:paraId="09085DBF">
      <w:pPr>
        <w:ind w:right="420"/>
        <w:jc w:val="left"/>
        <w:rPr>
          <w:rFonts w:hint="default"/>
          <w:b w:val="0"/>
          <w:bCs w:val="0"/>
          <w:color w:val="000000"/>
          <w:szCs w:val="21"/>
          <w:lang w:val="en-US" w:eastAsia="zh-CN"/>
        </w:rPr>
      </w:pPr>
      <w:r>
        <w:rPr>
          <w:rFonts w:hint="default"/>
          <w:b w:val="0"/>
          <w:bCs w:val="0"/>
          <w:color w:val="000000"/>
          <w:szCs w:val="21"/>
          <w:lang w:val="en-US" w:eastAsia="zh-CN"/>
        </w:rPr>
        <w:t>凯文·莱顿-布朗、保罗·米尔格罗姆、尼尔·纽曼、伊利亚·西格尔</w:t>
      </w:r>
    </w:p>
    <w:p w14:paraId="0AA14BEB">
      <w:pPr>
        <w:ind w:right="420"/>
        <w:jc w:val="left"/>
        <w:rPr>
          <w:rFonts w:hint="default"/>
          <w:b w:val="0"/>
          <w:bCs w:val="0"/>
          <w:color w:val="000000"/>
          <w:szCs w:val="21"/>
          <w:lang w:val="en-US" w:eastAsia="zh-CN"/>
        </w:rPr>
      </w:pPr>
    </w:p>
    <w:p w14:paraId="0E32FEBD">
      <w:pPr>
        <w:ind w:right="420"/>
        <w:jc w:val="left"/>
        <w:rPr>
          <w:rFonts w:hint="default"/>
          <w:b w:val="0"/>
          <w:bCs w:val="0"/>
          <w:color w:val="000000"/>
          <w:szCs w:val="21"/>
          <w:lang w:val="en-US" w:eastAsia="zh-CN"/>
        </w:rPr>
      </w:pPr>
      <w:r>
        <w:rPr>
          <w:rFonts w:hint="default"/>
          <w:b w:val="0"/>
          <w:bCs w:val="0"/>
          <w:color w:val="000000"/>
          <w:szCs w:val="21"/>
          <w:lang w:val="en-US" w:eastAsia="zh-CN"/>
        </w:rPr>
        <w:t>影响政策与改造制度：从肾脏/肝脏交换中吸取的教训</w:t>
      </w:r>
    </w:p>
    <w:p w14:paraId="6C305554">
      <w:pPr>
        <w:ind w:right="420"/>
        <w:jc w:val="left"/>
        <w:rPr>
          <w:rFonts w:hint="default"/>
          <w:b w:val="0"/>
          <w:bCs w:val="0"/>
          <w:color w:val="000000"/>
          <w:szCs w:val="21"/>
          <w:lang w:val="en-US" w:eastAsia="zh-CN"/>
        </w:rPr>
      </w:pPr>
      <w:r>
        <w:rPr>
          <w:rFonts w:hint="default"/>
          <w:b w:val="0"/>
          <w:bCs w:val="0"/>
          <w:color w:val="000000"/>
          <w:szCs w:val="21"/>
          <w:lang w:val="en-US" w:eastAsia="zh-CN"/>
        </w:rPr>
        <w:t>塔伊芬·森梅兹、M.乌特库·温韦尔</w:t>
      </w:r>
    </w:p>
    <w:p w14:paraId="04B2729E">
      <w:pPr>
        <w:ind w:right="420"/>
        <w:jc w:val="left"/>
        <w:rPr>
          <w:rFonts w:hint="default"/>
          <w:b w:val="0"/>
          <w:bCs w:val="0"/>
          <w:color w:val="000000"/>
          <w:szCs w:val="21"/>
          <w:lang w:val="en-US" w:eastAsia="zh-CN"/>
        </w:rPr>
      </w:pPr>
    </w:p>
    <w:p w14:paraId="265F20BC">
      <w:pPr>
        <w:ind w:right="420"/>
        <w:jc w:val="left"/>
        <w:rPr>
          <w:rFonts w:hint="default"/>
          <w:b w:val="0"/>
          <w:bCs w:val="0"/>
          <w:color w:val="000000"/>
          <w:szCs w:val="21"/>
          <w:lang w:val="en-US" w:eastAsia="zh-CN"/>
        </w:rPr>
      </w:pPr>
      <w:r>
        <w:rPr>
          <w:rFonts w:hint="default"/>
          <w:b w:val="0"/>
          <w:bCs w:val="0"/>
          <w:color w:val="000000"/>
          <w:szCs w:val="21"/>
          <w:lang w:val="en-US" w:eastAsia="zh-CN"/>
        </w:rPr>
        <w:t>将医院资源与有需求的患者相匹配</w:t>
      </w:r>
    </w:p>
    <w:p w14:paraId="721A8E81">
      <w:pPr>
        <w:ind w:right="420"/>
        <w:jc w:val="left"/>
        <w:rPr>
          <w:rFonts w:hint="default"/>
          <w:b w:val="0"/>
          <w:bCs w:val="0"/>
          <w:color w:val="000000"/>
          <w:szCs w:val="21"/>
          <w:lang w:val="en-US" w:eastAsia="zh-CN"/>
        </w:rPr>
      </w:pPr>
      <w:r>
        <w:rPr>
          <w:rFonts w:hint="default"/>
          <w:b w:val="0"/>
          <w:bCs w:val="0"/>
          <w:color w:val="000000"/>
          <w:szCs w:val="21"/>
          <w:lang w:val="en-US" w:eastAsia="zh-CN"/>
        </w:rPr>
        <w:t>郑凡茵</w:t>
      </w:r>
    </w:p>
    <w:p w14:paraId="49F1A956">
      <w:pPr>
        <w:ind w:right="420"/>
        <w:jc w:val="left"/>
        <w:rPr>
          <w:rFonts w:hint="default"/>
          <w:b w:val="0"/>
          <w:bCs w:val="0"/>
          <w:color w:val="000000"/>
          <w:szCs w:val="21"/>
          <w:lang w:val="en-US" w:eastAsia="zh-CN"/>
        </w:rPr>
      </w:pPr>
    </w:p>
    <w:p w14:paraId="7E368E99">
      <w:pPr>
        <w:ind w:right="420"/>
        <w:jc w:val="left"/>
        <w:rPr>
          <w:rFonts w:hint="default"/>
          <w:b w:val="0"/>
          <w:bCs w:val="0"/>
          <w:color w:val="000000"/>
          <w:szCs w:val="21"/>
          <w:lang w:val="en-US" w:eastAsia="zh-CN"/>
        </w:rPr>
      </w:pPr>
      <w:r>
        <w:rPr>
          <w:rFonts w:hint="default"/>
          <w:b w:val="0"/>
          <w:bCs w:val="0"/>
          <w:color w:val="000000"/>
          <w:szCs w:val="21"/>
          <w:lang w:val="en-US" w:eastAsia="zh-CN"/>
        </w:rPr>
        <w:t>学校分配机制中的信息提供与激励</w:t>
      </w:r>
    </w:p>
    <w:p w14:paraId="3DAFB0B9">
      <w:pPr>
        <w:ind w:right="420"/>
        <w:jc w:val="left"/>
        <w:rPr>
          <w:rFonts w:hint="default"/>
          <w:b w:val="0"/>
          <w:bCs w:val="0"/>
          <w:color w:val="000000"/>
          <w:szCs w:val="21"/>
          <w:lang w:val="en-US" w:eastAsia="zh-CN"/>
        </w:rPr>
      </w:pPr>
      <w:r>
        <w:rPr>
          <w:rFonts w:hint="default"/>
          <w:b w:val="0"/>
          <w:bCs w:val="0"/>
          <w:color w:val="000000"/>
          <w:szCs w:val="21"/>
          <w:lang w:val="en-US" w:eastAsia="zh-CN"/>
        </w:rPr>
        <w:t>德里克·尼尔、约瑟夫·鲁特</w:t>
      </w:r>
    </w:p>
    <w:p w14:paraId="4AF0F0EF">
      <w:pPr>
        <w:ind w:right="420"/>
        <w:jc w:val="left"/>
        <w:rPr>
          <w:rFonts w:hint="default"/>
          <w:b w:val="0"/>
          <w:bCs w:val="0"/>
          <w:color w:val="000000"/>
          <w:szCs w:val="21"/>
          <w:lang w:val="en-US" w:eastAsia="zh-CN"/>
        </w:rPr>
      </w:pPr>
    </w:p>
    <w:p w14:paraId="148217BE">
      <w:pPr>
        <w:ind w:right="420"/>
        <w:jc w:val="left"/>
        <w:rPr>
          <w:rFonts w:hint="default"/>
          <w:b w:val="0"/>
          <w:bCs w:val="0"/>
          <w:color w:val="000000"/>
          <w:szCs w:val="21"/>
          <w:lang w:val="en-US" w:eastAsia="zh-CN"/>
        </w:rPr>
      </w:pPr>
      <w:r>
        <w:rPr>
          <w:rFonts w:hint="default"/>
          <w:b w:val="0"/>
          <w:bCs w:val="0"/>
          <w:color w:val="000000"/>
          <w:szCs w:val="21"/>
          <w:lang w:val="en-US" w:eastAsia="zh-CN"/>
        </w:rPr>
        <w:t>作者索引</w:t>
      </w:r>
    </w:p>
    <w:p w14:paraId="69EB260F">
      <w:pPr>
        <w:ind w:right="420"/>
        <w:jc w:val="left"/>
        <w:rPr>
          <w:rFonts w:hint="default"/>
          <w:b w:val="0"/>
          <w:bCs w:val="0"/>
          <w:color w:val="000000"/>
          <w:szCs w:val="21"/>
          <w:lang w:val="en-US" w:eastAsia="zh-CN"/>
        </w:rPr>
      </w:pPr>
      <w:r>
        <w:rPr>
          <w:rFonts w:hint="default"/>
          <w:b w:val="0"/>
          <w:bCs w:val="0"/>
          <w:color w:val="000000"/>
          <w:szCs w:val="21"/>
          <w:lang w:val="en-US" w:eastAsia="zh-CN"/>
        </w:rPr>
        <w:t>主题索引</w:t>
      </w:r>
    </w:p>
    <w:p w14:paraId="1B9C88DC">
      <w:pPr>
        <w:ind w:right="420"/>
        <w:jc w:val="left"/>
        <w:rPr>
          <w:rFonts w:hint="default"/>
          <w:b w:val="0"/>
          <w:bCs w:val="0"/>
          <w:color w:val="000000"/>
          <w:szCs w:val="21"/>
          <w:lang w:val="en-US" w:eastAsia="zh-CN"/>
        </w:rPr>
      </w:pPr>
    </w:p>
    <w:p w14:paraId="10811267">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0B63FE7"/>
    <w:rsid w:val="114C2E46"/>
    <w:rsid w:val="13427DB4"/>
    <w:rsid w:val="15B34FF6"/>
    <w:rsid w:val="18AE01D8"/>
    <w:rsid w:val="1BA86C22"/>
    <w:rsid w:val="1D261077"/>
    <w:rsid w:val="1F687700"/>
    <w:rsid w:val="24771887"/>
    <w:rsid w:val="2B581102"/>
    <w:rsid w:val="2C0B6F0E"/>
    <w:rsid w:val="2DA34CE1"/>
    <w:rsid w:val="308C672F"/>
    <w:rsid w:val="311566B0"/>
    <w:rsid w:val="338F16D8"/>
    <w:rsid w:val="341F29BE"/>
    <w:rsid w:val="35FB0213"/>
    <w:rsid w:val="3AE04ADC"/>
    <w:rsid w:val="3C1934F8"/>
    <w:rsid w:val="3F0060B5"/>
    <w:rsid w:val="406B3CF1"/>
    <w:rsid w:val="42B533F0"/>
    <w:rsid w:val="432A1201"/>
    <w:rsid w:val="432C279F"/>
    <w:rsid w:val="459C0CF6"/>
    <w:rsid w:val="46B43896"/>
    <w:rsid w:val="473A51A1"/>
    <w:rsid w:val="4AE76519"/>
    <w:rsid w:val="543E2C5B"/>
    <w:rsid w:val="58DF0B08"/>
    <w:rsid w:val="5AB726B1"/>
    <w:rsid w:val="5D990F85"/>
    <w:rsid w:val="601E082E"/>
    <w:rsid w:val="60B3492E"/>
    <w:rsid w:val="68EE2E29"/>
    <w:rsid w:val="69A93106"/>
    <w:rsid w:val="6AA515D5"/>
    <w:rsid w:val="6ABF12C5"/>
    <w:rsid w:val="6AEB37C3"/>
    <w:rsid w:val="6C615816"/>
    <w:rsid w:val="6CA56A14"/>
    <w:rsid w:val="706D182E"/>
    <w:rsid w:val="71E47BC3"/>
    <w:rsid w:val="745C0F51"/>
    <w:rsid w:val="756C1B13"/>
    <w:rsid w:val="77AB543F"/>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970</Words>
  <Characters>1355</Characters>
  <Lines>25</Lines>
  <Paragraphs>7</Paragraphs>
  <TotalTime>15</TotalTime>
  <ScaleCrop>false</ScaleCrop>
  <LinksUpToDate>false</LinksUpToDate>
  <CharactersWithSpaces>1395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2026-04-27T02:36:07Z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