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《我才不是鱼》</w:t>
      </w:r>
    </w:p>
    <w:p w14:paraId="6D5733C3">
      <w:pPr>
        <w:jc w:val="center"/>
        <w:rPr>
          <w:b/>
          <w:bCs/>
          <w:color w:val="000000"/>
          <w:sz w:val="36"/>
          <w:szCs w:val="36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</w:rPr>
        <w:t>I am NOT a Fish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62230</wp:posOffset>
            </wp:positionV>
            <wp:extent cx="1863725" cy="1939925"/>
            <wp:effectExtent l="0" t="0" r="3175" b="3175"/>
            <wp:wrapSquare wrapText="bothSides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《我才不是鱼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I am NOT a Fish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Patrick Guest</w:t>
      </w:r>
    </w:p>
    <w:p w14:paraId="14202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师：Katie Abey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24页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1937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“就算逆流而上，也要闪闪发光做自己！”</w:t>
      </w:r>
    </w:p>
    <w:p w14:paraId="3FEF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获奖作家携手人气插画师，用明快幽默的故事告诉孩子：接纳独特的自己，就是最棒的成长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充满欢乐与力量，教会孩子自信、勇敢与自我认同，适合亲子共读传递成长正能量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135DE979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·明快温暖成长故事，内核积极有力：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以幽默轻快的方式探讨自信、快乐与自我接纳，告诉孩子：就算与众不同、逆流而上，也要勇敢做自己。</w:t>
      </w:r>
    </w:p>
    <w:p w14:paraId="7B25E5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·获奖作家执笔，文字灵动诙谐：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由获奖作家帕特里克・格斯特精心创作，文字风趣有温度，节奏轻快，极易吸引孩子阅读与共情。</w:t>
      </w:r>
    </w:p>
    <w:p w14:paraId="1E475503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·人气插画师加盟，画风奇趣治愈：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由极具人气的特色插画师凯特・艾比绘制，画风怪趣可爱、色彩明亮，让故事更具感染力。</w:t>
      </w:r>
    </w:p>
    <w:p w14:paraId="105F7669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·赞美独特自我，鼓励每个孩子闪光：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用欢乐的故事赞美每一个人的独特之处，帮助孩子建立自信，接纳自我，充满正向力量。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·主题丰富多元，教育价值突出：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涵盖自信、自我认同、独特性、动物、幽默等多重主题，兼具阅读趣味与成长引导意义。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1282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‘I’m NOT a f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 xml:space="preserve">sh. No way. </w:t>
      </w:r>
    </w:p>
    <w:p w14:paraId="10E5D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That’s NOT me.’</w:t>
      </w:r>
    </w:p>
    <w:p w14:paraId="6D093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0CE36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 joyful story about embracing your unique self . . . </w:t>
      </w: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even when you have to swim against the 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de.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43"/>
      <w:bookmarkStart w:id="2" w:name="OLE_LINK38"/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Patrick Guest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childhood consisted of footy, f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oundering, running through tea tree, bone collect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ng, and ten part harmonies in the family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spluttering combi van. Even back then he was 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stories that were a hit with his parents and rabbit Snowball. Patrick found half of his career calling in Sports Physiotherapy, and af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>er his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rst son Noah was born, followed by Reuben and Grace, he found the second half of his career—as a storyteller.</w:t>
      </w:r>
    </w:p>
    <w:p w14:paraId="25A70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</w:p>
    <w:p w14:paraId="24D8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4AD8B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lang w:val="en-US" w:eastAsia="zh-CN"/>
        </w:rPr>
      </w:pPr>
    </w:p>
    <w:p w14:paraId="31597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Kat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e Abey is a creat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human committed to the idea that she can make a posit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difference to the world by drawing perturbed animals and lots of rainbows for a living. She used to view her deeply sensit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traits as a f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aw but has now harnessed those characterist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cs into the superpower they are! Her work is created to uplif</w:t>
      </w:r>
      <w:r>
        <w:rPr>
          <w:rFonts w:hint="eastAsia"/>
          <w:lang w:val="en-US" w:eastAsia="zh-CN"/>
        </w:rPr>
        <w:t>t</w:t>
      </w:r>
      <w:r>
        <w:rPr>
          <w:rFonts w:hint="eastAsia"/>
        </w:rPr>
        <w:t xml:space="preserve"> and support and she is passionate about making people feel proud of their individuality and all of the things that set them apart from others. Embrace your weirdness!</w:t>
      </w:r>
    </w:p>
    <w:p w14:paraId="431D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5625465" cy="2935605"/>
            <wp:effectExtent l="0" t="0" r="13335" b="1714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r>
        <w:drawing>
          <wp:inline distT="0" distB="0" distL="114300" distR="114300">
            <wp:extent cx="5625465" cy="2908935"/>
            <wp:effectExtent l="0" t="0" r="13335" b="571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F2B14"/>
    <w:rsid w:val="1C17703F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12A1D04"/>
    <w:rsid w:val="45083B8C"/>
    <w:rsid w:val="4603463C"/>
    <w:rsid w:val="468C3169"/>
    <w:rsid w:val="494B7BFF"/>
    <w:rsid w:val="4A392FB7"/>
    <w:rsid w:val="4CF136D5"/>
    <w:rsid w:val="4E87411E"/>
    <w:rsid w:val="4E9F4AB7"/>
    <w:rsid w:val="52C442F7"/>
    <w:rsid w:val="537B1187"/>
    <w:rsid w:val="53F32DF7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4E04304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794</Words>
  <Characters>2318</Characters>
  <Lines>85</Lines>
  <Paragraphs>61</Paragraphs>
  <TotalTime>8</TotalTime>
  <ScaleCrop>false</ScaleCrop>
  <LinksUpToDate>false</LinksUpToDate>
  <CharactersWithSpaces>2637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2026-03-12T08:51:22Z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1B69084BB2E64466B24F881DABA4A465_13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