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6-08 075607.png屏幕截图 2026-06-08 075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6-08 075607.png屏幕截图 2026-06-08 075607"/>
                    <pic:cNvPicPr>
                      <a:picLocks noChangeAspect="1"/>
                    </pic:cNvPicPr>
                  </pic:nvPicPr>
                  <pic:blipFill>
                    <a:blip r:embed="rId6"/>
                    <a:srcRect t="638" b="638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《无害女人》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Harmless Women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Rebecca Sharpe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Minotaur Books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Kaplan/DeFiore 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3CF456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在这部节奏明快的惊悚小说中，一位女性诈骗高手选错了目标，结果两个女人都不得不为活命而逃亡。</w:t>
      </w:r>
    </w:p>
    <w:p w14:paraId="35FB85EC">
      <w:pPr>
        <w:ind w:firstLine="420" w:firstLineChars="200"/>
        <w:rPr>
          <w:rFonts w:hint="eastAsia"/>
          <w:bCs/>
          <w:kern w:val="0"/>
          <w:szCs w:val="21"/>
        </w:rPr>
      </w:pPr>
    </w:p>
    <w:p w14:paraId="2B009A8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阿瓦隆·戴尔是一位技艺高超的骗子。她</w:t>
      </w:r>
      <w:r>
        <w:rPr>
          <w:rFonts w:hint="eastAsia"/>
          <w:bCs/>
          <w:kern w:val="0"/>
          <w:szCs w:val="21"/>
          <w:lang w:val="en-US" w:eastAsia="zh-CN"/>
        </w:rPr>
        <w:t>彻底</w:t>
      </w:r>
      <w:r>
        <w:rPr>
          <w:rFonts w:hint="eastAsia"/>
          <w:bCs/>
          <w:kern w:val="0"/>
          <w:szCs w:val="21"/>
        </w:rPr>
        <w:t>地研究受害者，绑架并给他们下药，清空他们的银行账户，再用注射剂和理发器改变他们的外貌，这样等他们醒来时，就很难证明自己的身份。为了最后一笔大买卖，阿瓦隆盯上了普丽姆罗斯·米斯，之后她就会金盆洗手，过上轻松奢华的生活——这是她自艰辛童年起就一直梦想的。</w:t>
      </w:r>
    </w:p>
    <w:p w14:paraId="5AA38735">
      <w:pPr>
        <w:ind w:firstLine="420" w:firstLineChars="200"/>
        <w:rPr>
          <w:rFonts w:hint="eastAsia"/>
          <w:bCs/>
          <w:kern w:val="0"/>
          <w:szCs w:val="21"/>
        </w:rPr>
      </w:pP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从纸面上看，普丽姆是完美的目标：有钱、工作狂，还被出轨的丈夫分了心。但当阿瓦隆发现普丽姆的丈夫死了，她没那么容易脱身——尤其是她被误认为是普丽姆，而后者现在正因谋杀被通缉。这两个女人——彼此对立、互为敌人——突然一起踏上逃亡之路，必须学会相处、学会互相依靠，才能成功脱身。于是，一场猫鼠游戏般的逃往英格兰海岸的旅程，变成了为生存而战的斗争。</w:t>
      </w: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丽贝卡·夏普（</w:t>
      </w:r>
      <w:r>
        <w:rPr>
          <w:rFonts w:hint="eastAsia"/>
          <w:b/>
          <w:bCs/>
          <w:color w:val="000000"/>
          <w:szCs w:val="21"/>
          <w:highlight w:val="none"/>
        </w:rPr>
        <w:t>Rebecca Sharpe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八岁时读了第一本斯蒂芬·金的小说，从此立志写小说，之后又读了苏珊·希尔、雪莉·杰克逊和威尔基·柯林斯的作品，其间也少不了《保姆俱乐部》的调剂。她把学校图书馆的经典文学读了个遍，之后进入大学攻读英国文学，这巩固了她成为作家的志向。不读书或不写作时，她会在费伯学院指导新人作家，或者带着她的狗阿奇在门迪普山散步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80975B7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能读到一部由两位女性主演的如此引人入胜的惊悚小说实属幸事；更添妙趣的是那种模棱两可的感觉——夏普对每位主角内心挣扎（以及潜伏在书页背景中的第三位女性）的犀利刻画，让读者忍不住去猜想：这里到底谁才是受害者，如果真有受害者的话。”</w:t>
      </w:r>
    </w:p>
    <w:p w14:paraId="0576EAC0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——firstCLUE</w:t>
      </w:r>
    </w:p>
    <w:p w14:paraId="5F811CC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94ABF35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一部紧张、令人不安且充满力量的生存故事，《无害女人》会让你读得喘不过气来。丽贝卡·夏普笔下那些细腻勾勒的人物跃然纸上，她犀利且富有氛围感的文笔，展现了一位才华横溢的讲故事者真正处于巅峰状态。千万别错过。”</w:t>
      </w:r>
    </w:p>
    <w:p w14:paraId="3066744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——莎拉·平伯勒</w:t>
      </w:r>
    </w:p>
    <w:p w14:paraId="74F6CB4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BE86011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“《无害女人》是我们这个时代一部扣人心弦、精彩绝伦的《末路狂花》。它黑暗、聪明、令人愤怒又感人至深，我一口气读完了它——合上最后一页之后很久，我还在想着阿瓦隆和普丽姆。”</w:t>
      </w:r>
    </w:p>
    <w:p w14:paraId="501CBA04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——尼奇·克洛克</w:t>
      </w: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9BC65A4"/>
    <w:rsid w:val="1BA86C22"/>
    <w:rsid w:val="1D261077"/>
    <w:rsid w:val="1DD61316"/>
    <w:rsid w:val="1F687700"/>
    <w:rsid w:val="24771887"/>
    <w:rsid w:val="27D04ADA"/>
    <w:rsid w:val="2C0B6F0E"/>
    <w:rsid w:val="2C12461C"/>
    <w:rsid w:val="2DA34CE1"/>
    <w:rsid w:val="30F6550C"/>
    <w:rsid w:val="311566B0"/>
    <w:rsid w:val="341F29BE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4963F2"/>
    <w:rsid w:val="58DF0B08"/>
    <w:rsid w:val="5AB726B1"/>
    <w:rsid w:val="5E4E4E2C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1074</Words>
  <Characters>1419</Characters>
  <Lines>25</Lines>
  <Paragraphs>7</Paragraphs>
  <TotalTime>45</TotalTime>
  <ScaleCrop>false</ScaleCrop>
  <LinksUpToDate>false</LinksUpToDate>
  <CharactersWithSpaces>1447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2026-06-24T01:58:11Z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