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2077AE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29C2EBC9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059C44D4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Ediciones Minilupa是智利的一家小型出版社。</w:t>
      </w:r>
      <w:r>
        <w:rPr>
          <w:b/>
          <w:bCs/>
          <w:color w:val="000000"/>
          <w:szCs w:val="21"/>
        </w:rPr>
        <w:t>他们的图书目录色彩鲜活、充满温情，并植根于对培养终身阅读热情的深切热忱。</w:t>
      </w:r>
      <w:r>
        <w:rPr>
          <w:rFonts w:hint="eastAsia"/>
          <w:b/>
          <w:bCs/>
          <w:color w:val="000000"/>
          <w:szCs w:val="21"/>
        </w:rPr>
        <w:t>目前，他们的图书主要面对0至10岁的婴幼儿。</w:t>
      </w:r>
    </w:p>
    <w:p w14:paraId="5A8783F6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</w:p>
    <w:p w14:paraId="2C468E29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他们的大部分书籍采用韵文，并在故事的不同部分重复使用短语，以吸引小读者的注意力，同时培养他们的语音意识。这些书籍配有由智利和拉丁美洲艺术家精心绘制的插图。</w:t>
      </w:r>
    </w:p>
    <w:p w14:paraId="053357EC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</w:p>
    <w:p w14:paraId="215415BD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Minilupa的背后</w:t>
      </w:r>
      <w:r>
        <w:rPr>
          <w:b/>
          <w:bCs/>
          <w:color w:val="000000"/>
          <w:szCs w:val="21"/>
        </w:rPr>
        <w:t>一个</w:t>
      </w:r>
      <w:r>
        <w:rPr>
          <w:rFonts w:hint="eastAsia"/>
          <w:b/>
          <w:bCs/>
          <w:color w:val="000000"/>
          <w:szCs w:val="21"/>
        </w:rPr>
        <w:t>热爱儿童文学</w:t>
      </w:r>
      <w:r>
        <w:rPr>
          <w:b/>
          <w:bCs/>
          <w:color w:val="000000"/>
          <w:szCs w:val="21"/>
        </w:rPr>
        <w:t>的家庭</w:t>
      </w:r>
      <w:r>
        <w:rPr>
          <w:rFonts w:hint="eastAsia"/>
          <w:b/>
          <w:bCs/>
          <w:color w:val="000000"/>
          <w:szCs w:val="21"/>
        </w:rPr>
        <w:t>，他们喜欢一起阅读，一起讨论书籍。家里孩子们的年龄在0-6岁之间，他们会提出选题建议，给插画师和作者提供反馈，他们擅长写书评，甚至最小的孩子也是他们图书质量把关的负责人。</w:t>
      </w:r>
    </w:p>
    <w:p w14:paraId="022B592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ascii="宋体" w:hAnsi="宋体" w:eastAsia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</w:rPr>
      </w:pPr>
    </w:p>
    <w:p w14:paraId="02B3BC7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ascii="宋体" w:hAnsi="宋体" w:eastAsia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</w:rPr>
        <w:t>《邻里小伙伴》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</w:rPr>
        <w:t>系列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  <w:t>册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eastAsia="zh-CN"/>
        </w:rPr>
        <w:t>）</w:t>
      </w:r>
    </w:p>
    <w:p w14:paraId="1848F52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</w:rPr>
        <w:t>Meet the Neighbors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  <w:t xml:space="preserve"> Series</w:t>
      </w:r>
      <w:r>
        <w:rPr>
          <w:rFonts w:hint="eastAsia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  <w:t>（3 titles）</w:t>
      </w:r>
    </w:p>
    <w:p w14:paraId="1A1DF1F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</w:pPr>
    </w:p>
    <w:p w14:paraId="00931277">
      <w:pPr>
        <w:tabs>
          <w:tab w:val="center" w:pos="4252"/>
        </w:tabs>
        <w:jc w:val="center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t>《邻里小伙伴》（Meet the Neighbors）系列是Ediciones Minilupa的畅销读物之一。书中登场三位邻居，每个人都藏着一段独特的故事。故事围绕日常点滴展开，探讨包容、自信、成长型思维、友善沟通，以及打破固有标签看待他人的重要意义。丛书旨在鼓励孩子们接纳差异、拥抱不完美，学会体谅自己与他人。</w:t>
      </w:r>
    </w:p>
    <w:p w14:paraId="3062FF0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3676A6"/>
          <w:spacing w:val="0"/>
          <w:sz w:val="28"/>
          <w:szCs w:val="28"/>
          <w:shd w:val="clear" w:fill="FFFFFF"/>
          <w:lang w:val="en-US" w:eastAsia="zh-CN"/>
        </w:rPr>
      </w:pPr>
    </w:p>
    <w:p w14:paraId="1DCF6EC9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146685</wp:posOffset>
            </wp:positionV>
            <wp:extent cx="1802765" cy="1762125"/>
            <wp:effectExtent l="0" t="0" r="6985" b="0"/>
            <wp:wrapSquare wrapText="bothSides"/>
            <wp:docPr id="19172963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96373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>
        <w:rPr>
          <w:b/>
          <w:bCs/>
          <w:color w:val="000000"/>
          <w:szCs w:val="21"/>
        </w:rPr>
        <w:t>祖莉</w:t>
      </w:r>
      <w:r>
        <w:rPr>
          <w:rFonts w:hint="eastAsia"/>
          <w:b/>
          <w:bCs/>
          <w:color w:val="000000"/>
          <w:szCs w:val="21"/>
          <w:lang w:eastAsia="zh-CN"/>
        </w:rPr>
        <w:t>——</w:t>
      </w:r>
      <w:r>
        <w:rPr>
          <w:b/>
          <w:bCs/>
          <w:color w:val="000000"/>
          <w:szCs w:val="21"/>
        </w:rPr>
        <w:t>一本</w:t>
      </w:r>
      <w:r>
        <w:rPr>
          <w:rFonts w:hint="eastAsia"/>
          <w:b/>
          <w:bCs/>
          <w:color w:val="000000"/>
          <w:szCs w:val="21"/>
        </w:rPr>
        <w:t>关于</w:t>
      </w:r>
      <w:r>
        <w:rPr>
          <w:b/>
          <w:bCs/>
          <w:color w:val="000000"/>
          <w:szCs w:val="21"/>
        </w:rPr>
        <w:t>包容的绘本</w:t>
      </w:r>
      <w:r>
        <w:rPr>
          <w:rFonts w:hint="eastAsia"/>
          <w:b/>
          <w:bCs/>
          <w:color w:val="000000"/>
          <w:szCs w:val="21"/>
        </w:rPr>
        <w:t>》</w:t>
      </w:r>
    </w:p>
    <w:p w14:paraId="39D9DFB9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英文书名：Zuli, a book about inclusion</w:t>
      </w:r>
    </w:p>
    <w:p w14:paraId="766899B7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color w:val="000000"/>
          <w:szCs w:val="21"/>
        </w:rPr>
        <w:t>者：Carol Neumann Bertin</w:t>
      </w:r>
      <w:r>
        <w:rPr>
          <w:rFonts w:hint="eastAsia"/>
          <w:b/>
          <w:bCs/>
          <w:color w:val="000000"/>
          <w:szCs w:val="21"/>
        </w:rPr>
        <w:t xml:space="preserve"> and </w:t>
      </w:r>
      <w:r>
        <w:rPr>
          <w:b/>
          <w:bCs/>
          <w:color w:val="000000"/>
          <w:szCs w:val="21"/>
        </w:rPr>
        <w:t>María del Pilar Parro</w:t>
      </w:r>
    </w:p>
    <w:p w14:paraId="25DDF5B2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社：Ediciones Minilupa</w:t>
      </w:r>
    </w:p>
    <w:p w14:paraId="4F277D03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代理公司：Tudem/ANA</w:t>
      </w:r>
    </w:p>
    <w:p w14:paraId="38F3C3A4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页 </w:t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页</w:t>
      </w:r>
    </w:p>
    <w:p w14:paraId="7AA54576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年</w:t>
      </w:r>
    </w:p>
    <w:p w14:paraId="3166CCBC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审读资料：电子稿</w:t>
      </w:r>
    </w:p>
    <w:p w14:paraId="4FC90E5B">
      <w:pPr>
        <w:tabs>
          <w:tab w:val="center" w:pos="4252"/>
        </w:tabs>
        <w:jc w:val="left"/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  <w:lang w:val="fr-FR"/>
        </w:rPr>
        <w:t xml:space="preserve"> </w:t>
      </w:r>
      <w:r>
        <w:rPr>
          <w:rFonts w:hint="eastAsia"/>
          <w:b/>
          <w:bCs/>
          <w:color w:val="000000"/>
          <w:szCs w:val="21"/>
          <w:lang w:val="fr-FR"/>
        </w:rPr>
        <w:t xml:space="preserve">   </w:t>
      </w:r>
      <w:r>
        <w:rPr>
          <w:b/>
          <w:bCs/>
          <w:color w:val="000000"/>
          <w:szCs w:val="21"/>
        </w:rPr>
        <w:t>型</w:t>
      </w:r>
      <w:r>
        <w:rPr>
          <w:b/>
          <w:bCs/>
          <w:color w:val="000000"/>
          <w:szCs w:val="21"/>
          <w:lang w:val="fr-FR"/>
        </w:rPr>
        <w:t>：</w:t>
      </w:r>
      <w:r>
        <w:rPr>
          <w:rFonts w:hint="eastAsia"/>
          <w:b/>
          <w:bCs/>
          <w:color w:val="000000"/>
          <w:szCs w:val="21"/>
          <w:lang w:val="fr-FR"/>
        </w:rPr>
        <w:t>纸板书</w:t>
      </w:r>
    </w:p>
    <w:p w14:paraId="58470E5E">
      <w:pPr>
        <w:jc w:val="left"/>
        <w:rPr>
          <w:b/>
          <w:bCs/>
        </w:rPr>
      </w:pPr>
    </w:p>
    <w:p w14:paraId="1CB32E95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0F2C719A">
      <w:pPr>
        <w:jc w:val="center"/>
        <w:rPr>
          <w:b/>
          <w:bCs/>
        </w:rPr>
      </w:pPr>
    </w:p>
    <w:p w14:paraId="5BE3E0D1">
      <w:pPr>
        <w:jc w:val="center"/>
        <w:rPr>
          <w:rFonts w:hint="eastAsia"/>
          <w:b/>
          <w:bCs/>
          <w:color w:val="265BA4"/>
        </w:rPr>
      </w:pPr>
      <w:r>
        <w:rPr>
          <w:rFonts w:hint="eastAsia"/>
          <w:b/>
          <w:bCs/>
          <w:color w:val="265BA4"/>
        </w:rPr>
        <w:t>以 “蓝色皮肤” 这一充满童趣的奇幻设定，具象化人与人之间的不同，避开沉重复杂的话题。孩子能轻松代入剧情，直观体会被孤立、被嘲笑的难过，自然而然懂得不该因外表区别对待他人。</w:t>
      </w:r>
    </w:p>
    <w:p w14:paraId="06702138">
      <w:pPr>
        <w:jc w:val="center"/>
        <w:rPr>
          <w:rFonts w:hint="eastAsia"/>
          <w:b/>
          <w:bCs/>
          <w:color w:val="265BA4"/>
        </w:rPr>
      </w:pPr>
    </w:p>
    <w:p w14:paraId="2CF1316D">
      <w:pPr>
        <w:jc w:val="center"/>
        <w:rPr>
          <w:b/>
          <w:bCs/>
          <w:color w:val="265BA4"/>
        </w:rPr>
      </w:pPr>
      <w:r>
        <w:rPr>
          <w:rFonts w:hint="eastAsia"/>
          <w:b/>
          <w:bCs/>
          <w:color w:val="265BA4"/>
        </w:rPr>
        <w:t>全书核心传递 “差异即是独特闪光点” 的理念，没有生硬说教，情节简单治愈。适合亲子共读，帮助家长引导孩子建立平等友善的待人观念，塑造善良包容的品格。</w:t>
      </w:r>
    </w:p>
    <w:p w14:paraId="2FF6CC20">
      <w:pPr>
        <w:jc w:val="left"/>
        <w:rPr>
          <w:b/>
          <w:bCs/>
        </w:rPr>
      </w:pPr>
    </w:p>
    <w:p w14:paraId="421A0235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163C0E23">
      <w:pPr>
        <w:ind w:firstLine="420"/>
        <w:jc w:val="left"/>
        <w:rPr>
          <w:b/>
          <w:bCs/>
        </w:rPr>
      </w:pPr>
    </w:p>
    <w:p w14:paraId="0B3BE1F7">
      <w:pPr>
        <w:ind w:firstLine="420"/>
        <w:jc w:val="left"/>
      </w:pPr>
      <w:r>
        <w:t>祖莉</w:t>
      </w:r>
      <w:r>
        <w:rPr>
          <w:rFonts w:hint="eastAsia"/>
          <w:lang w:eastAsia="zh-CN"/>
        </w:rPr>
        <w:t>（Zuli）</w:t>
      </w:r>
      <w:r>
        <w:t>是一个与众不同的小女孩：她的皮肤是蓝色的！独特的肤色引来其他小朋友频频注视，有时还会遭到取笑。在这个故事里，祖莉慢慢建立起自信，也让其他孩子明白，正是彼此的差异造就了独一无二的我们。</w:t>
      </w:r>
    </w:p>
    <w:p w14:paraId="7E63AE6F">
      <w:pPr>
        <w:jc w:val="left"/>
      </w:pPr>
    </w:p>
    <w:p w14:paraId="682B05CC">
      <w:pPr>
        <w:jc w:val="left"/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10271F8E">
      <w:pPr>
        <w:ind w:firstLine="420"/>
        <w:jc w:val="left"/>
      </w:pPr>
      <w:r>
        <w:rPr>
          <w:b/>
          <w:bCs/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68580</wp:posOffset>
            </wp:positionV>
            <wp:extent cx="994410" cy="970915"/>
            <wp:effectExtent l="0" t="0" r="5715" b="635"/>
            <wp:wrapSquare wrapText="bothSides"/>
            <wp:docPr id="541058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5835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卡罗尔·诺伊曼·贝尔坦</w:t>
      </w:r>
      <w:r>
        <w:rPr>
          <w:rFonts w:hint="eastAsia"/>
          <w:b/>
          <w:bCs/>
        </w:rPr>
        <w:t>（</w:t>
      </w:r>
      <w:r>
        <w:rPr>
          <w:b/>
          <w:bCs/>
        </w:rPr>
        <w:t>Carol Neumann Bertin</w:t>
      </w:r>
      <w:r>
        <w:rPr>
          <w:rFonts w:hint="eastAsia"/>
          <w:b/>
          <w:bCs/>
        </w:rPr>
        <w:t>）</w:t>
      </w:r>
      <w:r>
        <w:rPr>
          <w:rFonts w:hint="eastAsia"/>
        </w:rPr>
        <w:t>是作家、家庭及教育培训师、记者、和教师，同时也是三个孩子的母亲。她拥有新闻学、语言与传播教育学的专业背景，长期深耕自己最热爱的领域：书籍、教育与儿童成长，扎实的学科积淀为其创作与教育工作奠定了坚实基础。现任Minilupa编辑总监、大学教授，常年走进中小学、幼儿园及各大企业，通过生动温暖的故事分享与主题宣讲，传递先进的育儿理念与教育思维。</w:t>
      </w:r>
    </w:p>
    <w:p w14:paraId="4C69815D">
      <w:pPr>
        <w:ind w:firstLine="420"/>
        <w:jc w:val="left"/>
      </w:pPr>
      <w:r>
        <w:rPr>
          <w:rFonts w:hint="eastAsia"/>
        </w:rPr>
        <w:t>Carol 的教育培训工作覆盖智利及整个拉丁美洲地区，曾为教师、家庭与教育机构提供培训。同时，她也是西雅图华盛顿大学早期教育网络的一员。</w:t>
      </w:r>
    </w:p>
    <w:p w14:paraId="0694A2A8">
      <w:pPr>
        <w:ind w:firstLine="420"/>
        <w:jc w:val="left"/>
      </w:pPr>
    </w:p>
    <w:p w14:paraId="136E20C5">
      <w:pPr>
        <w:ind w:firstLine="420"/>
        <w:jc w:val="left"/>
      </w:pPr>
      <w:r>
        <w:t>​</w:t>
      </w:r>
    </w:p>
    <w:p w14:paraId="2B0C947E">
      <w:pPr>
        <w:jc w:val="left"/>
        <w:rPr>
          <w:b/>
          <w:bCs/>
        </w:rPr>
      </w:pPr>
      <w:r>
        <w:rPr>
          <w:rFonts w:hint="eastAsia"/>
          <w:b/>
          <w:bCs/>
        </w:rPr>
        <w:t>内页插图：</w:t>
      </w:r>
    </w:p>
    <w:p w14:paraId="1208D82F">
      <w:pPr>
        <w:jc w:val="center"/>
      </w:pPr>
      <w:r>
        <w:rPr>
          <w14:ligatures w14:val="standardContextual"/>
        </w:rPr>
        <w:drawing>
          <wp:inline distT="0" distB="0" distL="0" distR="0">
            <wp:extent cx="2334895" cy="2214245"/>
            <wp:effectExtent l="0" t="0" r="8255" b="5080"/>
            <wp:docPr id="1995339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3987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068" cy="22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28875" cy="2207895"/>
            <wp:effectExtent l="0" t="0" r="0" b="1905"/>
            <wp:docPr id="564998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988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539" cy="22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659B">
      <w:pPr>
        <w:jc w:val="center"/>
      </w:pPr>
    </w:p>
    <w:p w14:paraId="28605F07">
      <w:pPr>
        <w:jc w:val="center"/>
      </w:pPr>
    </w:p>
    <w:p w14:paraId="61A1D4FC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38100</wp:posOffset>
            </wp:positionV>
            <wp:extent cx="2136140" cy="2028825"/>
            <wp:effectExtent l="0" t="0" r="6985" b="0"/>
            <wp:wrapSquare wrapText="bothSides"/>
            <wp:docPr id="10916716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71613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中文书名：《阿马罗的标签》</w:t>
      </w:r>
    </w:p>
    <w:p w14:paraId="5943F2A6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英文书名：Amaro's Labels</w:t>
      </w:r>
    </w:p>
    <w:p w14:paraId="51373868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</w:t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者：Carol Neumann Bertin</w:t>
      </w:r>
      <w:r>
        <w:rPr>
          <w:rFonts w:hint="eastAsia"/>
          <w:b/>
          <w:bCs/>
          <w:color w:val="000000"/>
          <w:szCs w:val="21"/>
        </w:rPr>
        <w:t xml:space="preserve"> and </w:t>
      </w:r>
      <w:r>
        <w:rPr>
          <w:b/>
          <w:bCs/>
          <w:color w:val="000000"/>
          <w:szCs w:val="21"/>
        </w:rPr>
        <w:t>María del Pilar Parro</w:t>
      </w:r>
    </w:p>
    <w:p w14:paraId="4E7BD136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社：Ediciones Minilupa</w:t>
      </w:r>
    </w:p>
    <w:p w14:paraId="7F15DFE0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代理公司：Tudem/ANA</w:t>
      </w:r>
    </w:p>
    <w:p w14:paraId="053A9DB9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页 </w:t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30</w:t>
      </w:r>
      <w:r>
        <w:rPr>
          <w:b/>
          <w:bCs/>
          <w:color w:val="000000"/>
          <w:szCs w:val="21"/>
        </w:rPr>
        <w:t>页</w:t>
      </w:r>
    </w:p>
    <w:p w14:paraId="34C173BC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年</w:t>
      </w:r>
    </w:p>
    <w:p w14:paraId="7C81CF9B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审读资料：电子稿</w:t>
      </w:r>
    </w:p>
    <w:p w14:paraId="6901B831">
      <w:pPr>
        <w:tabs>
          <w:tab w:val="center" w:pos="4252"/>
        </w:tabs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  <w:lang w:val="fr-FR"/>
        </w:rPr>
        <w:t xml:space="preserve"> </w:t>
      </w:r>
      <w:r>
        <w:rPr>
          <w:rFonts w:hint="eastAsia"/>
          <w:b/>
          <w:bCs/>
          <w:color w:val="000000"/>
          <w:szCs w:val="21"/>
          <w:lang w:val="fr-FR"/>
        </w:rPr>
        <w:t xml:space="preserve">   </w:t>
      </w:r>
      <w:r>
        <w:rPr>
          <w:b/>
          <w:bCs/>
          <w:color w:val="000000"/>
          <w:szCs w:val="21"/>
        </w:rPr>
        <w:t>型</w:t>
      </w:r>
      <w:r>
        <w:rPr>
          <w:b/>
          <w:bCs/>
          <w:color w:val="000000"/>
          <w:szCs w:val="21"/>
          <w:lang w:val="fr-FR"/>
        </w:rPr>
        <w:t>：</w:t>
      </w:r>
      <w:r>
        <w:rPr>
          <w:rFonts w:hint="eastAsia"/>
          <w:b/>
          <w:bCs/>
          <w:color w:val="000000"/>
          <w:szCs w:val="21"/>
          <w:lang w:val="fr-FR"/>
        </w:rPr>
        <w:t>故事绘本</w:t>
      </w:r>
    </w:p>
    <w:p w14:paraId="61874D9E">
      <w:pPr>
        <w:jc w:val="center"/>
        <w:rPr>
          <w:b/>
          <w:bCs/>
        </w:rPr>
      </w:pPr>
    </w:p>
    <w:p w14:paraId="780E7C1A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069AAF23">
      <w:pPr>
        <w:jc w:val="center"/>
        <w:rPr>
          <w:b/>
          <w:bCs/>
        </w:rPr>
      </w:pPr>
    </w:p>
    <w:p w14:paraId="571650E3">
      <w:pPr>
        <w:jc w:val="center"/>
        <w:rPr>
          <w:rFonts w:hint="eastAsia"/>
          <w:b/>
          <w:bCs/>
          <w:color w:val="A37F3A"/>
        </w:rPr>
      </w:pPr>
      <w:r>
        <w:rPr>
          <w:rFonts w:hint="eastAsia"/>
          <w:b/>
          <w:bCs/>
          <w:color w:val="A37F3A"/>
        </w:rPr>
        <w:t>以身上凭空长出标签的奇幻设定，把无形的负面评价具象化，低龄孩子也能快速读懂语言评价对人的影响。生动展现随意贴标签会束缚孩子的言行。</w:t>
      </w:r>
    </w:p>
    <w:p w14:paraId="37CBD5D3">
      <w:pPr>
        <w:jc w:val="center"/>
        <w:rPr>
          <w:b/>
          <w:bCs/>
          <w:color w:val="A37F3A"/>
        </w:rPr>
      </w:pPr>
      <w:r>
        <w:rPr>
          <w:rFonts w:hint="eastAsia"/>
          <w:b/>
          <w:bCs/>
          <w:color w:val="A37F3A"/>
        </w:rPr>
        <w:t xml:space="preserve"> </w:t>
      </w:r>
    </w:p>
    <w:p w14:paraId="4999517F">
      <w:pPr>
        <w:jc w:val="center"/>
        <w:rPr>
          <w:rFonts w:hint="eastAsia"/>
          <w:b/>
          <w:bCs/>
          <w:color w:val="A37F3A"/>
        </w:rPr>
      </w:pPr>
      <w:r>
        <w:rPr>
          <w:rFonts w:hint="eastAsia"/>
          <w:b/>
          <w:bCs/>
          <w:color w:val="A37F3A"/>
        </w:rPr>
        <w:t>结合成长型思维教育理念，点明教育核心：评价应聚焦孩子当下行为，而非给性格、能力下永久定义。打破 “你很笨”“你很调皮” 这类固化评判误区，为家长提供科学的沟通思路，是亲子共读、家庭教育的优质参考绘本。</w:t>
      </w:r>
    </w:p>
    <w:p w14:paraId="6A52B4AA">
      <w:pPr>
        <w:jc w:val="center"/>
        <w:rPr>
          <w:rFonts w:hint="eastAsia"/>
          <w:b/>
          <w:bCs/>
          <w:color w:val="A37F3A"/>
        </w:rPr>
      </w:pPr>
    </w:p>
    <w:p w14:paraId="2B7FD1D6">
      <w:pPr>
        <w:jc w:val="center"/>
        <w:rPr>
          <w:b/>
          <w:bCs/>
          <w:color w:val="A37F3A"/>
        </w:rPr>
      </w:pPr>
      <w:r>
        <w:rPr>
          <w:rFonts w:hint="eastAsia"/>
          <w:b/>
          <w:bCs/>
          <w:color w:val="A37F3A"/>
        </w:rPr>
        <w:t>故事拥有双重阅读价值：对孩子而言，学会不被他人的片面评价定义自己，建立内在自信；对家长、老师而言，引发反思日常说话措辞，警惕言语带来的心理暗示，学会用包容、发展的眼光看待孩子的成长变化。</w:t>
      </w:r>
    </w:p>
    <w:p w14:paraId="23BE6CA3">
      <w:pPr>
        <w:jc w:val="left"/>
      </w:pPr>
    </w:p>
    <w:p w14:paraId="351B7E8B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01474329">
      <w:pPr>
        <w:jc w:val="left"/>
        <w:rPr>
          <w:b/>
          <w:bCs/>
        </w:rPr>
      </w:pPr>
    </w:p>
    <w:p w14:paraId="024A6551">
      <w:pPr>
        <w:ind w:firstLine="420"/>
        <w:jc w:val="left"/>
      </w:pPr>
      <w:r>
        <w:t>每当有人描述阿马罗的行为时，他身上就会突然出现各种标签；随着这些标签开始左右他的行为，他必须设法摆脱它们</w:t>
      </w:r>
      <w:r>
        <w:rPr>
          <w:rFonts w:hint="eastAsia"/>
        </w:rPr>
        <w:t>。</w:t>
      </w:r>
    </w:p>
    <w:p w14:paraId="34EB3200">
      <w:pPr>
        <w:ind w:firstLine="420"/>
        <w:jc w:val="left"/>
      </w:pPr>
    </w:p>
    <w:p w14:paraId="2C08DAAF">
      <w:pPr>
        <w:ind w:firstLine="420"/>
        <w:jc w:val="left"/>
      </w:pPr>
      <w:r>
        <w:t>这个故事提醒我们，在纠正或表扬孩子时，要注意措辞。有证据表明，应该关注孩子的行为而非特质，以避免培养他们固定的思维模式，让他们认为自己的智力和能力是无法改变的。</w:t>
      </w:r>
    </w:p>
    <w:p w14:paraId="55D01EB5">
      <w:pPr>
        <w:ind w:firstLine="420"/>
        <w:jc w:val="left"/>
      </w:pPr>
    </w:p>
    <w:p w14:paraId="4359958D">
      <w:pPr>
        <w:jc w:val="left"/>
        <w:rPr>
          <w:b/>
          <w:bCs/>
        </w:rPr>
      </w:pPr>
      <w:r>
        <w:rPr>
          <w:rFonts w:hint="eastAsia"/>
          <w:b/>
          <w:bCs/>
        </w:rPr>
        <w:t>内页插图：</w:t>
      </w:r>
    </w:p>
    <w:p w14:paraId="425C18FD">
      <w:pPr>
        <w:jc w:val="center"/>
        <w:rPr>
          <w:b/>
          <w:bCs/>
          <w:color w:val="000000"/>
          <w:szCs w:val="21"/>
        </w:rPr>
      </w:pPr>
      <w:r>
        <w:drawing>
          <wp:inline distT="0" distB="0" distL="0" distR="0">
            <wp:extent cx="2249170" cy="2110740"/>
            <wp:effectExtent l="0" t="0" r="8255" b="3810"/>
            <wp:docPr id="3184942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94221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2670" cy="2118995"/>
            <wp:effectExtent l="0" t="0" r="1905" b="5080"/>
            <wp:docPr id="3184876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87671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DE477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</w:p>
    <w:p w14:paraId="75131E0C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96520</wp:posOffset>
            </wp:positionV>
            <wp:extent cx="1720850" cy="1659890"/>
            <wp:effectExtent l="0" t="0" r="3175" b="6985"/>
            <wp:wrapSquare wrapText="bothSides"/>
            <wp:docPr id="6761628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6282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中文书名：《利洛，放轻松》</w:t>
      </w:r>
    </w:p>
    <w:p w14:paraId="0B433A0A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英文书名：Lilo,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Take it Easy</w:t>
      </w:r>
    </w:p>
    <w:p w14:paraId="0D746A2B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</w:t>
      </w:r>
      <w:r>
        <w:rPr>
          <w:rFonts w:hint="eastAsia"/>
          <w:b/>
          <w:bCs/>
          <w:color w:val="000000"/>
          <w:szCs w:val="21"/>
        </w:rPr>
        <w:t xml:space="preserve">  </w:t>
      </w:r>
      <w:r>
        <w:rPr>
          <w:b/>
          <w:bCs/>
          <w:color w:val="000000"/>
          <w:szCs w:val="21"/>
        </w:rPr>
        <w:t>者：Carol Neumann Bertin</w:t>
      </w:r>
      <w:r>
        <w:rPr>
          <w:rFonts w:hint="eastAsia"/>
          <w:b/>
          <w:bCs/>
          <w:color w:val="000000"/>
          <w:szCs w:val="21"/>
        </w:rPr>
        <w:t xml:space="preserve"> and </w:t>
      </w:r>
      <w:r>
        <w:rPr>
          <w:b/>
          <w:bCs/>
          <w:color w:val="000000"/>
          <w:szCs w:val="21"/>
        </w:rPr>
        <w:t>María del Pilar Parro</w:t>
      </w:r>
    </w:p>
    <w:p w14:paraId="4619AD17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社：Ediciones Minilupa</w:t>
      </w:r>
    </w:p>
    <w:p w14:paraId="62123168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代理公司：Tudem/ANA</w:t>
      </w:r>
    </w:p>
    <w:p w14:paraId="6EFE4BC1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页 </w:t>
      </w:r>
      <w:r>
        <w:rPr>
          <w:rFonts w:hint="eastAsia"/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2CAD1750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</w:p>
    <w:p w14:paraId="076416A2">
      <w:pPr>
        <w:tabs>
          <w:tab w:val="center" w:pos="4252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审读资料：电子稿</w:t>
      </w:r>
    </w:p>
    <w:p w14:paraId="25C4EBAB">
      <w:pPr>
        <w:tabs>
          <w:tab w:val="center" w:pos="4252"/>
        </w:tabs>
        <w:jc w:val="left"/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  <w:lang w:val="fr-FR"/>
        </w:rPr>
        <w:t xml:space="preserve"> </w:t>
      </w:r>
      <w:r>
        <w:rPr>
          <w:rFonts w:hint="eastAsia"/>
          <w:b/>
          <w:bCs/>
          <w:color w:val="000000"/>
          <w:szCs w:val="21"/>
          <w:lang w:val="fr-FR"/>
        </w:rPr>
        <w:t xml:space="preserve">   </w:t>
      </w:r>
      <w:r>
        <w:rPr>
          <w:b/>
          <w:bCs/>
          <w:color w:val="000000"/>
          <w:szCs w:val="21"/>
        </w:rPr>
        <w:t>型</w:t>
      </w:r>
      <w:r>
        <w:rPr>
          <w:b/>
          <w:bCs/>
          <w:color w:val="000000"/>
          <w:szCs w:val="21"/>
          <w:lang w:val="fr-FR"/>
        </w:rPr>
        <w:t>：</w:t>
      </w:r>
      <w:r>
        <w:rPr>
          <w:rFonts w:hint="eastAsia"/>
          <w:b/>
          <w:bCs/>
          <w:color w:val="000000"/>
          <w:szCs w:val="21"/>
          <w:lang w:val="fr-FR"/>
        </w:rPr>
        <w:t>故事绘本</w:t>
      </w:r>
    </w:p>
    <w:p w14:paraId="2D92D571">
      <w:pPr>
        <w:jc w:val="left"/>
      </w:pPr>
    </w:p>
    <w:p w14:paraId="64992463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36B018DB">
      <w:pPr>
        <w:jc w:val="center"/>
        <w:rPr>
          <w:b/>
          <w:bCs/>
        </w:rPr>
      </w:pPr>
    </w:p>
    <w:p w14:paraId="1BA56CA9">
      <w:pPr>
        <w:jc w:val="center"/>
        <w:rPr>
          <w:rFonts w:hint="eastAsia"/>
          <w:b/>
          <w:bCs/>
          <w:color w:val="9C5E9B"/>
        </w:rPr>
      </w:pPr>
      <w:r>
        <w:rPr>
          <w:rFonts w:hint="eastAsia"/>
          <w:b/>
          <w:bCs/>
          <w:color w:val="9C5E9B"/>
        </w:rPr>
        <w:t>书中赋予日常物品生命，用充满想象力的拟人情节和孩子对话，没有生硬说教。戳中完美主义孩子害怕出错、追求事事完美的心理，让小朋友轻松理解：失误并不可怕，打破对犯错的焦虑与羞耻感。</w:t>
      </w:r>
    </w:p>
    <w:p w14:paraId="3E46BB95">
      <w:pPr>
        <w:jc w:val="center"/>
        <w:rPr>
          <w:rFonts w:hint="eastAsia"/>
          <w:b/>
          <w:bCs/>
          <w:color w:val="9C5E9B"/>
        </w:rPr>
      </w:pPr>
    </w:p>
    <w:p w14:paraId="44653449">
      <w:pPr>
        <w:jc w:val="center"/>
        <w:rPr>
          <w:rFonts w:hint="eastAsia"/>
          <w:b/>
          <w:bCs/>
          <w:color w:val="9C5E9B"/>
        </w:rPr>
      </w:pPr>
      <w:r>
        <w:rPr>
          <w:rFonts w:hint="eastAsia"/>
          <w:b/>
          <w:bCs/>
          <w:color w:val="9C5E9B"/>
        </w:rPr>
        <w:t>故事传递科学的成长理念，摒弃“不能出错”的严苛标准，打造包容错误的成长视角。引导孩子明白错误是学习的必经环节，不必因失误自我否定，学会在失误中汲取经验，培养不惧尝试、敢于试错的心态。</w:t>
      </w:r>
    </w:p>
    <w:p w14:paraId="20756AA8">
      <w:pPr>
        <w:jc w:val="center"/>
        <w:rPr>
          <w:rFonts w:hint="eastAsia"/>
          <w:b/>
          <w:bCs/>
          <w:color w:val="9C5E9B"/>
        </w:rPr>
      </w:pPr>
    </w:p>
    <w:p w14:paraId="62E0C958">
      <w:pPr>
        <w:jc w:val="both"/>
        <w:rPr>
          <w:b/>
          <w:bCs/>
          <w:color w:val="9C5E9B"/>
        </w:rPr>
      </w:pPr>
      <w:r>
        <w:rPr>
          <w:rFonts w:hint="eastAsia"/>
          <w:b/>
          <w:bCs/>
          <w:color w:val="9C5E9B"/>
        </w:rPr>
        <w:t>不止引导接纳错误，更提出轻松化解失误的方式 —— 以幽默看待不完美。既能帮助完美主义儿童缓解心理压力，也适合家长用来引导孩子乐观面对挫折，培养松弛、豁达的性格。</w:t>
      </w:r>
    </w:p>
    <w:p w14:paraId="587FA7FA">
      <w:pPr>
        <w:jc w:val="left"/>
      </w:pPr>
    </w:p>
    <w:p w14:paraId="789820E9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4BBCB734">
      <w:pPr>
        <w:jc w:val="left"/>
      </w:pPr>
    </w:p>
    <w:p w14:paraId="04AB4403">
      <w:pPr>
        <w:ind w:firstLine="420"/>
        <w:jc w:val="left"/>
      </w:pPr>
      <w:r>
        <w:rPr>
          <w:rFonts w:hint="eastAsia"/>
        </w:rPr>
        <w:t>这本书告诉我们，我们可以从错误中学到很多东西，甚至可以用幽默的态度看待错误。</w:t>
      </w:r>
    </w:p>
    <w:p w14:paraId="39BB440A">
      <w:pPr>
        <w:jc w:val="left"/>
      </w:pPr>
    </w:p>
    <w:p w14:paraId="602E0288">
      <w:pPr>
        <w:ind w:firstLine="420"/>
        <w:jc w:val="left"/>
      </w:pPr>
      <w:r>
        <w:t>利洛不喜欢犯错，凡事都追求尽善尽美。直到身边的物品全都活了过来，告诉他犯错本就是学习过程的一部分，他才明白，笑着接纳失误，或许才是最完美的事。</w:t>
      </w:r>
    </w:p>
    <w:p w14:paraId="354C1283">
      <w:pPr>
        <w:jc w:val="left"/>
      </w:pPr>
    </w:p>
    <w:p w14:paraId="1520F18D">
      <w:pPr>
        <w:ind w:firstLine="420"/>
        <w:jc w:val="left"/>
      </w:pPr>
      <w:r>
        <w:rPr>
          <w:rFonts w:hint="eastAsia"/>
        </w:rPr>
        <w:t>这个故事宣扬了一种接纳错误的文化，在这种文化中，错误是被重视和欣赏的，而不是被视为负面的事情。</w:t>
      </w:r>
    </w:p>
    <w:p w14:paraId="360900D4">
      <w:pPr>
        <w:ind w:firstLine="420"/>
        <w:jc w:val="left"/>
      </w:pPr>
    </w:p>
    <w:p w14:paraId="28A38EDE">
      <w:pPr>
        <w:jc w:val="left"/>
        <w:rPr>
          <w:b/>
          <w:bCs/>
        </w:rPr>
      </w:pPr>
      <w:r>
        <w:rPr>
          <w:rFonts w:hint="eastAsia"/>
          <w:b/>
          <w:bCs/>
        </w:rPr>
        <w:t>内页插图：</w:t>
      </w:r>
    </w:p>
    <w:p w14:paraId="6059F321">
      <w:pPr>
        <w:jc w:val="center"/>
      </w:pPr>
      <w:r>
        <w:rPr>
          <w:rFonts w:hint="eastAsia"/>
        </w:rPr>
        <w:drawing>
          <wp:inline distT="0" distB="0" distL="0" distR="0">
            <wp:extent cx="2291080" cy="2226945"/>
            <wp:effectExtent l="0" t="0" r="4445" b="1905"/>
            <wp:docPr id="1629161703" name="图片 16" descr="冷静点，莉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61703" name="图片 16" descr="冷静点，莉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4565" cy="2141220"/>
            <wp:effectExtent l="0" t="0" r="3810" b="1905"/>
            <wp:docPr id="234244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4419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3BD60821">
      <w:pPr>
        <w:rPr>
          <w:b/>
          <w:color w:val="000000"/>
          <w:szCs w:val="21"/>
        </w:rPr>
      </w:pPr>
    </w:p>
    <w:p w14:paraId="4BEEEBC1">
      <w:pPr>
        <w:rPr>
          <w:b/>
          <w:color w:val="000000"/>
          <w:szCs w:val="21"/>
        </w:rPr>
      </w:pPr>
    </w:p>
    <w:p w14:paraId="46CDCC2C">
      <w:pPr>
        <w:rPr>
          <w:b/>
          <w:color w:val="000000"/>
          <w:szCs w:val="21"/>
        </w:rPr>
      </w:pPr>
    </w:p>
    <w:p w14:paraId="00DF9092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BB9F2F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4"/>
          <w:rFonts w:hint="eastAsia"/>
          <w:szCs w:val="21"/>
        </w:rPr>
        <w:t>Righ</w:t>
      </w:r>
      <w:r>
        <w:rPr>
          <w:rStyle w:val="4"/>
          <w:szCs w:val="21"/>
        </w:rPr>
        <w:t>ts@nurnberg.com.cn</w:t>
      </w:r>
      <w:r>
        <w:rPr>
          <w:rStyle w:val="4"/>
          <w:szCs w:val="21"/>
        </w:rPr>
        <w:fldChar w:fldCharType="end"/>
      </w:r>
    </w:p>
    <w:p w14:paraId="47AB34A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E104CE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263856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5F0266F6">
      <w:pPr>
        <w:rPr>
          <w:rStyle w:val="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4"/>
          <w:szCs w:val="21"/>
        </w:rPr>
        <w:t>http://www.nurnberg.com.cn</w:t>
      </w:r>
      <w:r>
        <w:rPr>
          <w:rStyle w:val="4"/>
          <w:szCs w:val="21"/>
        </w:rPr>
        <w:fldChar w:fldCharType="end"/>
      </w:r>
    </w:p>
    <w:p w14:paraId="7A34C65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4"/>
          <w:szCs w:val="21"/>
        </w:rPr>
        <w:t>http://www.nurnberg.com.cn/booklist_zh/list.aspx</w:t>
      </w:r>
      <w:r>
        <w:rPr>
          <w:rStyle w:val="4"/>
          <w:szCs w:val="21"/>
        </w:rPr>
        <w:fldChar w:fldCharType="end"/>
      </w:r>
    </w:p>
    <w:p w14:paraId="55A971F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4"/>
          <w:szCs w:val="21"/>
        </w:rPr>
        <w:t>http://www.nurnberg.com.cn/book/book.aspx</w:t>
      </w:r>
      <w:r>
        <w:rPr>
          <w:rStyle w:val="4"/>
          <w:szCs w:val="21"/>
        </w:rPr>
        <w:fldChar w:fldCharType="end"/>
      </w:r>
    </w:p>
    <w:p w14:paraId="6086B8EC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4"/>
          <w:szCs w:val="21"/>
        </w:rPr>
        <w:t>http://www.nurnberg.com.cn/video/video.aspx</w:t>
      </w:r>
      <w:r>
        <w:rPr>
          <w:rStyle w:val="4"/>
          <w:szCs w:val="21"/>
        </w:rPr>
        <w:fldChar w:fldCharType="end"/>
      </w:r>
    </w:p>
    <w:p w14:paraId="2B71108D">
      <w:pPr>
        <w:rPr>
          <w:rStyle w:val="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4"/>
          <w:szCs w:val="21"/>
        </w:rPr>
        <w:t>http://site.douban.com/110577/</w:t>
      </w:r>
      <w:r>
        <w:rPr>
          <w:rStyle w:val="4"/>
          <w:szCs w:val="21"/>
        </w:rPr>
        <w:fldChar w:fldCharType="end"/>
      </w:r>
    </w:p>
    <w:p w14:paraId="2B94AA65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0159AEE0">
      <w:pPr>
        <w:shd w:val="clear" w:color="auto" w:fill="FFFFFF"/>
        <w:rPr>
          <w:rFonts w:eastAsia="Gungsuh"/>
          <w:color w:val="00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167E43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D215F7"/>
    <w:rsid w:val="6FD2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2026-06-29T17:05:00Z</dcterms:created>
  <dc:creator>Ray</dc:creator>
  <cp:lastModifiedBy>Ray</cp:lastModifiedBy>
  <dcterms:modified xsi:type="dcterms:W3CDTF">2026-06-29T17:14:00Z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45E8139CD31542CC8D3FB198F6FCF023_11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