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E5" w:rsidRDefault="00AF128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3A19E5" w:rsidRDefault="003A19E5">
      <w:pPr>
        <w:ind w:firstLineChars="1004" w:firstLine="3629"/>
        <w:rPr>
          <w:b/>
          <w:bCs/>
          <w:sz w:val="36"/>
        </w:rPr>
      </w:pPr>
    </w:p>
    <w:p w:rsidR="003A19E5" w:rsidRDefault="006364A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8255</wp:posOffset>
            </wp:positionV>
            <wp:extent cx="1397635" cy="2110740"/>
            <wp:effectExtent l="0" t="0" r="0" b="381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283">
        <w:rPr>
          <w:b/>
          <w:bCs/>
          <w:szCs w:val="21"/>
        </w:rPr>
        <w:t>中文书名：</w:t>
      </w:r>
      <w:bookmarkStart w:id="0" w:name="_Hlt89834866"/>
      <w:bookmarkEnd w:id="0"/>
      <w:r w:rsidR="00AF1283">
        <w:rPr>
          <w:rFonts w:hint="eastAsia"/>
          <w:b/>
          <w:bCs/>
          <w:szCs w:val="21"/>
        </w:rPr>
        <w:t>《</w:t>
      </w:r>
      <w:r w:rsidR="00AF1283">
        <w:rPr>
          <w:rFonts w:hint="eastAsia"/>
          <w:b/>
          <w:bCs/>
          <w:szCs w:val="21"/>
        </w:rPr>
        <w:t>五季养生法：写给现代人的中医手册</w:t>
      </w:r>
      <w:r w:rsidR="00AF1283">
        <w:rPr>
          <w:rFonts w:hint="eastAsia"/>
          <w:b/>
          <w:bCs/>
          <w:szCs w:val="21"/>
        </w:rPr>
        <w:t>》</w:t>
      </w:r>
    </w:p>
    <w:p w:rsidR="003A19E5" w:rsidRDefault="00AF1283">
      <w:pPr>
        <w:tabs>
          <w:tab w:val="left" w:pos="341"/>
          <w:tab w:val="left" w:pos="5235"/>
        </w:tabs>
        <w:jc w:val="left"/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Five Seasons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>A Modern Guide to Traditional Chinese Medicine</w:t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Ada </w:t>
      </w:r>
      <w:proofErr w:type="spellStart"/>
      <w:r>
        <w:rPr>
          <w:rFonts w:hint="eastAsia"/>
          <w:b/>
          <w:bCs/>
          <w:color w:val="000000"/>
          <w:szCs w:val="21"/>
        </w:rPr>
        <w:t>Ooi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</w:instrText>
      </w:r>
      <w:r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PRH UK/Penguin General</w:t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3A19E5" w:rsidRDefault="00AF128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6364A3">
        <w:rPr>
          <w:rFonts w:hint="eastAsia"/>
          <w:b/>
          <w:bCs/>
          <w:szCs w:val="21"/>
        </w:rPr>
        <w:t>大纲</w:t>
      </w:r>
      <w:proofErr w:type="gramStart"/>
      <w:r w:rsidR="006364A3">
        <w:rPr>
          <w:rFonts w:hint="eastAsia"/>
          <w:b/>
          <w:bCs/>
          <w:szCs w:val="21"/>
        </w:rPr>
        <w:t>及样章</w:t>
      </w:r>
      <w:proofErr w:type="gramEnd"/>
      <w:r w:rsidR="006364A3">
        <w:rPr>
          <w:rFonts w:hint="eastAsia"/>
          <w:b/>
          <w:bCs/>
          <w:szCs w:val="21"/>
        </w:rPr>
        <w:t>（预计</w:t>
      </w:r>
      <w:r w:rsidR="006364A3">
        <w:rPr>
          <w:rFonts w:hint="eastAsia"/>
          <w:b/>
          <w:bCs/>
          <w:szCs w:val="21"/>
        </w:rPr>
        <w:t>2</w:t>
      </w:r>
      <w:r w:rsidR="006364A3">
        <w:rPr>
          <w:b/>
          <w:bCs/>
          <w:szCs w:val="21"/>
        </w:rPr>
        <w:t>026</w:t>
      </w:r>
      <w:r w:rsidR="006364A3">
        <w:rPr>
          <w:b/>
          <w:bCs/>
          <w:szCs w:val="21"/>
        </w:rPr>
        <w:t>年</w:t>
      </w:r>
      <w:r w:rsidR="006364A3">
        <w:rPr>
          <w:rFonts w:hint="eastAsia"/>
          <w:b/>
          <w:bCs/>
          <w:szCs w:val="21"/>
        </w:rPr>
        <w:t>1</w:t>
      </w:r>
      <w:r w:rsidR="006364A3">
        <w:rPr>
          <w:b/>
          <w:bCs/>
          <w:szCs w:val="21"/>
        </w:rPr>
        <w:t>0</w:t>
      </w:r>
      <w:r w:rsidR="006364A3">
        <w:rPr>
          <w:b/>
          <w:bCs/>
          <w:szCs w:val="21"/>
        </w:rPr>
        <w:t>月递交全稿</w:t>
      </w:r>
      <w:r w:rsidR="006364A3">
        <w:rPr>
          <w:rFonts w:hint="eastAsia"/>
          <w:b/>
          <w:bCs/>
          <w:szCs w:val="21"/>
        </w:rPr>
        <w:t>）</w:t>
      </w:r>
    </w:p>
    <w:p w:rsidR="003A19E5" w:rsidRDefault="00AF128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保健</w:t>
      </w:r>
    </w:p>
    <w:p w:rsidR="003A19E5" w:rsidRDefault="003A19E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364A3" w:rsidRDefault="006364A3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3A19E5" w:rsidRDefault="00AF128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3A19E5" w:rsidRDefault="003A19E5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3A19E5" w:rsidRPr="00BF689A" w:rsidRDefault="00AF1283">
      <w:pPr>
        <w:ind w:firstLineChars="200" w:firstLine="422"/>
        <w:rPr>
          <w:b/>
          <w:bCs/>
          <w:kern w:val="0"/>
          <w:szCs w:val="21"/>
        </w:rPr>
      </w:pPr>
      <w:r w:rsidRPr="00BF689A">
        <w:rPr>
          <w:rFonts w:hint="eastAsia"/>
          <w:b/>
          <w:bCs/>
          <w:kern w:val="0"/>
          <w:szCs w:val="21"/>
        </w:rPr>
        <w:t>一部根据中医原则、与自然和谐共处的季节性生活指南。</w:t>
      </w:r>
    </w:p>
    <w:p w:rsidR="003A19E5" w:rsidRDefault="003A19E5">
      <w:pPr>
        <w:ind w:firstLineChars="200" w:firstLine="420"/>
        <w:rPr>
          <w:bCs/>
          <w:kern w:val="0"/>
          <w:szCs w:val="21"/>
        </w:rPr>
      </w:pPr>
    </w:p>
    <w:p w:rsidR="003A19E5" w:rsidRDefault="006364A3">
      <w:pPr>
        <w:ind w:firstLineChars="200" w:firstLine="420"/>
        <w:rPr>
          <w:bCs/>
          <w:kern w:val="0"/>
          <w:szCs w:val="21"/>
        </w:rPr>
      </w:pPr>
      <w:r w:rsidRPr="006364A3">
        <w:rPr>
          <w:rFonts w:hint="eastAsia"/>
          <w:bCs/>
          <w:kern w:val="0"/>
          <w:szCs w:val="21"/>
        </w:rPr>
        <w:t>当下中医热度持续回潮</w:t>
      </w:r>
      <w:r>
        <w:rPr>
          <w:bCs/>
          <w:kern w:val="0"/>
          <w:szCs w:val="21"/>
        </w:rPr>
        <w:t>——</w:t>
      </w:r>
      <w:r w:rsidRPr="006364A3">
        <w:rPr>
          <w:rFonts w:hint="eastAsia"/>
          <w:bCs/>
          <w:kern w:val="0"/>
          <w:szCs w:val="21"/>
        </w:rPr>
        <w:t>各类养生食谱与健康</w:t>
      </w:r>
      <w:proofErr w:type="gramStart"/>
      <w:r w:rsidRPr="006364A3">
        <w:rPr>
          <w:rFonts w:hint="eastAsia"/>
          <w:bCs/>
          <w:kern w:val="0"/>
          <w:szCs w:val="21"/>
        </w:rPr>
        <w:t>科普在</w:t>
      </w:r>
      <w:proofErr w:type="gramEnd"/>
      <w:r w:rsidRPr="006364A3">
        <w:rPr>
          <w:rFonts w:hint="eastAsia"/>
          <w:bCs/>
          <w:kern w:val="0"/>
          <w:szCs w:val="21"/>
        </w:rPr>
        <w:t>网络上病毒式传播，播放量动辄数百万，线上话题度不断走高。</w:t>
      </w:r>
      <w:r>
        <w:rPr>
          <w:rFonts w:hint="eastAsia"/>
          <w:bCs/>
          <w:kern w:val="0"/>
          <w:szCs w:val="21"/>
        </w:rPr>
        <w:t>阿达·黄</w:t>
      </w:r>
      <w:r w:rsidRPr="006364A3">
        <w:rPr>
          <w:rFonts w:ascii="宋体" w:hAnsi="宋体" w:cs="宋体" w:hint="eastAsia"/>
          <w:bCs/>
          <w:kern w:val="0"/>
          <w:szCs w:val="21"/>
        </w:rPr>
        <w:t>将以专业视角，为这门传承悠久的养生学问赋予现代化解读，让读者能从日常维度感知身体状态，读懂四季流转中的身心需求</w:t>
      </w:r>
      <w:r w:rsidRPr="006364A3">
        <w:rPr>
          <w:rFonts w:hint="eastAsia"/>
          <w:bCs/>
          <w:kern w:val="0"/>
          <w:szCs w:val="21"/>
        </w:rPr>
        <w:t>。</w:t>
      </w:r>
    </w:p>
    <w:p w:rsidR="003A19E5" w:rsidRPr="006364A3" w:rsidRDefault="003A19E5">
      <w:pPr>
        <w:ind w:firstLineChars="200" w:firstLine="420"/>
        <w:rPr>
          <w:bCs/>
          <w:kern w:val="0"/>
          <w:szCs w:val="21"/>
        </w:rPr>
      </w:pPr>
    </w:p>
    <w:p w:rsidR="003A19E5" w:rsidRPr="006364A3" w:rsidRDefault="006364A3">
      <w:pPr>
        <w:ind w:firstLineChars="200" w:firstLine="420"/>
        <w:rPr>
          <w:b/>
          <w:bCs/>
          <w:kern w:val="0"/>
          <w:szCs w:val="21"/>
        </w:rPr>
      </w:pPr>
      <w:r w:rsidRPr="006364A3">
        <w:rPr>
          <w:rFonts w:hint="eastAsia"/>
          <w:bCs/>
          <w:kern w:val="0"/>
          <w:szCs w:val="21"/>
        </w:rPr>
        <w:t>中国有句古训：</w:t>
      </w:r>
      <w:r w:rsidRPr="006364A3">
        <w:rPr>
          <w:rFonts w:hint="eastAsia"/>
          <w:b/>
          <w:bCs/>
          <w:kern w:val="0"/>
          <w:szCs w:val="21"/>
        </w:rPr>
        <w:t>上工治未病</w:t>
      </w:r>
      <w:r w:rsidRPr="006364A3">
        <w:rPr>
          <w:rFonts w:hint="eastAsia"/>
          <w:bCs/>
          <w:kern w:val="0"/>
          <w:szCs w:val="21"/>
        </w:rPr>
        <w:t>，意思是</w:t>
      </w:r>
      <w:r w:rsidRPr="006364A3">
        <w:rPr>
          <w:rFonts w:hint="eastAsia"/>
          <w:bCs/>
          <w:kern w:val="0"/>
          <w:szCs w:val="21"/>
        </w:rPr>
        <w:t xml:space="preserve"> </w:t>
      </w:r>
      <w:r w:rsidRPr="006364A3">
        <w:rPr>
          <w:rFonts w:hint="eastAsia"/>
          <w:bCs/>
          <w:kern w:val="0"/>
          <w:szCs w:val="21"/>
        </w:rPr>
        <w:t>“最高明的医生，会在疾病尚未形成时就加以防治”。</w:t>
      </w:r>
    </w:p>
    <w:p w:rsidR="003A19E5" w:rsidRDefault="003A19E5">
      <w:pPr>
        <w:ind w:firstLineChars="200" w:firstLine="420"/>
        <w:rPr>
          <w:bCs/>
          <w:kern w:val="0"/>
          <w:szCs w:val="21"/>
        </w:rPr>
      </w:pPr>
    </w:p>
    <w:p w:rsidR="003A19E5" w:rsidRDefault="00AF128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中医并非为治病而生，而是为健康而生。它通过帮助个体根据中国历法中的五个季节，调频融入自然的节律，来实现这一目标。春、夏、长夏、秋、冬，在中医里不仅仅是季节——它们是数千年来对自然不断变化的能量走向之洞见的结晶，这些能量既存在于我们身外，也存在于我们体内。</w:t>
      </w:r>
    </w:p>
    <w:p w:rsidR="003A19E5" w:rsidRDefault="003A19E5">
      <w:pPr>
        <w:ind w:firstLineChars="200" w:firstLine="420"/>
        <w:rPr>
          <w:bCs/>
          <w:kern w:val="0"/>
          <w:szCs w:val="21"/>
        </w:rPr>
      </w:pPr>
    </w:p>
    <w:p w:rsidR="003A19E5" w:rsidRDefault="00AF128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</w:t>
      </w:r>
      <w:r>
        <w:rPr>
          <w:rFonts w:hint="eastAsia"/>
          <w:bCs/>
          <w:kern w:val="0"/>
          <w:szCs w:val="21"/>
        </w:rPr>
        <w:t>五季养生法</w:t>
      </w:r>
      <w:r>
        <w:rPr>
          <w:rFonts w:hint="eastAsia"/>
          <w:bCs/>
          <w:kern w:val="0"/>
          <w:szCs w:val="21"/>
        </w:rPr>
        <w:t>》一书中，阿达·黄撰写了一本手册，讲述人类如何能与自然和谐共处，并重新发现那</w:t>
      </w:r>
      <w:r>
        <w:rPr>
          <w:rFonts w:hint="eastAsia"/>
          <w:bCs/>
          <w:kern w:val="0"/>
          <w:szCs w:val="21"/>
        </w:rPr>
        <w:t>些本就存在于每个人生命中的自然节律——无论我们是否意识到它们。全书以季节为框架，每一章都探讨该季节的文化背景、你将看到和感受到的景象，以及你的身心可能受到的影响。阿达将在结合最新科学研究讨论的同时，为你提供关于饮食、运动、情绪调节、生活方式调整等方面的可行建议。</w:t>
      </w:r>
    </w:p>
    <w:p w:rsidR="006364A3" w:rsidRDefault="006364A3" w:rsidP="006364A3">
      <w:pPr>
        <w:rPr>
          <w:bCs/>
          <w:kern w:val="0"/>
          <w:szCs w:val="21"/>
        </w:rPr>
      </w:pPr>
    </w:p>
    <w:p w:rsidR="006364A3" w:rsidRPr="006364A3" w:rsidRDefault="006364A3" w:rsidP="006364A3">
      <w:pPr>
        <w:rPr>
          <w:b/>
          <w:bCs/>
          <w:kern w:val="0"/>
          <w:szCs w:val="21"/>
        </w:rPr>
      </w:pPr>
      <w:r w:rsidRPr="006364A3">
        <w:rPr>
          <w:b/>
          <w:bCs/>
          <w:kern w:val="0"/>
          <w:szCs w:val="21"/>
        </w:rPr>
        <w:t>审阅资料说明：</w:t>
      </w:r>
    </w:p>
    <w:p w:rsidR="006364A3" w:rsidRDefault="006364A3" w:rsidP="006364A3">
      <w:pPr>
        <w:rPr>
          <w:rFonts w:hint="eastAsia"/>
          <w:bCs/>
          <w:kern w:val="0"/>
          <w:szCs w:val="21"/>
        </w:rPr>
      </w:pPr>
    </w:p>
    <w:p w:rsidR="006364A3" w:rsidRPr="006364A3" w:rsidRDefault="006364A3" w:rsidP="006364A3">
      <w:pPr>
        <w:ind w:firstLineChars="200" w:firstLine="420"/>
        <w:rPr>
          <w:rFonts w:hint="eastAsia"/>
          <w:bCs/>
          <w:kern w:val="0"/>
          <w:szCs w:val="21"/>
        </w:rPr>
      </w:pPr>
      <w:r w:rsidRPr="006364A3">
        <w:rPr>
          <w:rFonts w:hint="eastAsia"/>
          <w:bCs/>
          <w:kern w:val="0"/>
          <w:szCs w:val="21"/>
        </w:rPr>
        <w:lastRenderedPageBreak/>
        <w:t>本次</w:t>
      </w:r>
      <w:r>
        <w:rPr>
          <w:rFonts w:hint="eastAsia"/>
          <w:bCs/>
          <w:kern w:val="0"/>
          <w:szCs w:val="21"/>
        </w:rPr>
        <w:t>先分享的是春季篇</w:t>
      </w:r>
      <w:r w:rsidRPr="006364A3">
        <w:rPr>
          <w:rFonts w:hint="eastAsia"/>
          <w:bCs/>
          <w:kern w:val="0"/>
          <w:szCs w:val="21"/>
        </w:rPr>
        <w:t>，讲述身体如何告别漫长冬日的蛰伏休眠状态，逐步复苏。</w:t>
      </w:r>
      <w:r w:rsidRPr="006364A3">
        <w:rPr>
          <w:rFonts w:hint="eastAsia"/>
          <w:bCs/>
          <w:kern w:val="0"/>
          <w:szCs w:val="21"/>
        </w:rPr>
        <w:t>阿达</w:t>
      </w:r>
      <w:r w:rsidRPr="006364A3">
        <w:rPr>
          <w:rFonts w:hint="eastAsia"/>
          <w:bCs/>
          <w:kern w:val="0"/>
          <w:szCs w:val="21"/>
        </w:rPr>
        <w:t>分享了诸多实用技巧，</w:t>
      </w:r>
      <w:proofErr w:type="gramStart"/>
      <w:r w:rsidRPr="006364A3">
        <w:rPr>
          <w:rFonts w:hint="eastAsia"/>
          <w:bCs/>
          <w:kern w:val="0"/>
          <w:szCs w:val="21"/>
        </w:rPr>
        <w:t>教读者</w:t>
      </w:r>
      <w:proofErr w:type="gramEnd"/>
      <w:r w:rsidRPr="006364A3">
        <w:rPr>
          <w:rFonts w:hint="eastAsia"/>
          <w:bCs/>
          <w:kern w:val="0"/>
          <w:szCs w:val="21"/>
        </w:rPr>
        <w:t>如何缓慢“唤醒神经系统，驱散春日晨起的昏沉困顿”，也解释了春季大扫除的重要性与最优操作方式：打扫时要从房屋最深处往大门方向清扫，如此便能“逐层扫去一整年的浊气，不会将晦气重新聚在屋内”。</w:t>
      </w:r>
    </w:p>
    <w:p w:rsidR="00BF689A" w:rsidRDefault="00BF689A" w:rsidP="006364A3">
      <w:pPr>
        <w:ind w:firstLineChars="200" w:firstLine="420"/>
        <w:rPr>
          <w:bCs/>
          <w:kern w:val="0"/>
          <w:szCs w:val="21"/>
        </w:rPr>
      </w:pPr>
    </w:p>
    <w:p w:rsidR="006364A3" w:rsidRPr="006364A3" w:rsidRDefault="006364A3" w:rsidP="006364A3">
      <w:pPr>
        <w:ind w:firstLineChars="200" w:firstLine="420"/>
        <w:rPr>
          <w:rFonts w:hint="eastAsia"/>
          <w:bCs/>
          <w:kern w:val="0"/>
          <w:szCs w:val="21"/>
        </w:rPr>
      </w:pPr>
      <w:r w:rsidRPr="006364A3">
        <w:rPr>
          <w:rFonts w:hint="eastAsia"/>
          <w:bCs/>
          <w:kern w:val="0"/>
          <w:szCs w:val="21"/>
        </w:rPr>
        <w:t>若您需要酷暑应对技巧</w:t>
      </w:r>
      <w:r w:rsidR="00BF689A">
        <w:rPr>
          <w:rFonts w:hint="eastAsia"/>
          <w:bCs/>
          <w:kern w:val="0"/>
          <w:szCs w:val="21"/>
        </w:rPr>
        <w:t>，后续夏季篇</w:t>
      </w:r>
      <w:r w:rsidRPr="006364A3">
        <w:rPr>
          <w:rFonts w:hint="eastAsia"/>
          <w:bCs/>
          <w:kern w:val="0"/>
          <w:szCs w:val="21"/>
        </w:rPr>
        <w:t>定稿后会收录相关内容，在此先分享一则</w:t>
      </w:r>
      <w:r w:rsidR="00BF689A" w:rsidRPr="00BF689A">
        <w:rPr>
          <w:rFonts w:hint="eastAsia"/>
          <w:bCs/>
          <w:kern w:val="0"/>
          <w:szCs w:val="21"/>
        </w:rPr>
        <w:t>阿达</w:t>
      </w:r>
      <w:r w:rsidRPr="006364A3">
        <w:rPr>
          <w:rFonts w:hint="eastAsia"/>
          <w:bCs/>
          <w:kern w:val="0"/>
          <w:szCs w:val="21"/>
        </w:rPr>
        <w:t>的小贴士：</w:t>
      </w:r>
    </w:p>
    <w:p w:rsidR="00BF689A" w:rsidRDefault="00BF689A" w:rsidP="006364A3">
      <w:pPr>
        <w:ind w:firstLineChars="200" w:firstLine="420"/>
        <w:rPr>
          <w:bCs/>
          <w:kern w:val="0"/>
          <w:szCs w:val="21"/>
        </w:rPr>
      </w:pPr>
    </w:p>
    <w:p w:rsidR="006364A3" w:rsidRPr="00BF689A" w:rsidRDefault="006364A3" w:rsidP="006364A3">
      <w:pPr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BF689A">
        <w:rPr>
          <w:rFonts w:ascii="楷体" w:eastAsia="楷体" w:hAnsi="楷体" w:hint="eastAsia"/>
          <w:bCs/>
          <w:kern w:val="0"/>
          <w:szCs w:val="21"/>
        </w:rPr>
        <w:t>尽管中医主张即便盛夏酷暑也不宜过量食用冰饮冷食，但我也十分理解，热浪袭来时大家都想快速消暑降温。以下</w:t>
      </w:r>
      <w:r w:rsidR="00BF689A" w:rsidRPr="00BF689A">
        <w:rPr>
          <w:rFonts w:ascii="楷体" w:eastAsia="楷体" w:hAnsi="楷体" w:hint="eastAsia"/>
          <w:bCs/>
          <w:kern w:val="0"/>
          <w:szCs w:val="21"/>
        </w:rPr>
        <w:t>是冷食食用建议，既能享受清凉，又能最大程度降低对身体的负面影响。</w:t>
      </w:r>
    </w:p>
    <w:p w:rsidR="00BF689A" w:rsidRPr="00BF689A" w:rsidRDefault="00BF689A" w:rsidP="00BF689A">
      <w:pPr>
        <w:rPr>
          <w:rFonts w:ascii="楷体" w:eastAsia="楷体" w:hAnsi="楷体"/>
          <w:bCs/>
          <w:kern w:val="0"/>
          <w:szCs w:val="21"/>
        </w:rPr>
      </w:pPr>
    </w:p>
    <w:p w:rsidR="006364A3" w:rsidRDefault="006364A3" w:rsidP="00BF689A">
      <w:pPr>
        <w:pStyle w:val="aa"/>
        <w:numPr>
          <w:ilvl w:val="0"/>
          <w:numId w:val="2"/>
        </w:numPr>
        <w:ind w:firstLineChars="0"/>
        <w:rPr>
          <w:rFonts w:ascii="楷体" w:eastAsia="楷体" w:hAnsi="楷体"/>
          <w:bCs/>
          <w:kern w:val="0"/>
          <w:szCs w:val="21"/>
        </w:rPr>
      </w:pPr>
      <w:r w:rsidRPr="00BF689A">
        <w:rPr>
          <w:rFonts w:ascii="楷体" w:eastAsia="楷体" w:hAnsi="楷体" w:hint="eastAsia"/>
          <w:bCs/>
          <w:kern w:val="0"/>
          <w:szCs w:val="21"/>
        </w:rPr>
        <w:t>正午</w:t>
      </w:r>
      <w:r w:rsidR="00BF689A" w:rsidRPr="00BF689A">
        <w:rPr>
          <w:rFonts w:ascii="楷体" w:eastAsia="楷体" w:hAnsi="楷体" w:hint="eastAsia"/>
          <w:bCs/>
          <w:kern w:val="0"/>
          <w:szCs w:val="21"/>
        </w:rPr>
        <w:t>12</w:t>
      </w:r>
      <w:r w:rsidRPr="00BF689A">
        <w:rPr>
          <w:rFonts w:ascii="楷体" w:eastAsia="楷体" w:hAnsi="楷体" w:hint="eastAsia"/>
          <w:bCs/>
          <w:kern w:val="0"/>
          <w:szCs w:val="21"/>
        </w:rPr>
        <w:t>点至下午</w:t>
      </w:r>
      <w:r w:rsidR="00BF689A" w:rsidRPr="00BF689A">
        <w:rPr>
          <w:rFonts w:ascii="楷体" w:eastAsia="楷体" w:hAnsi="楷体" w:hint="eastAsia"/>
          <w:bCs/>
          <w:kern w:val="0"/>
          <w:szCs w:val="21"/>
        </w:rPr>
        <w:t>3</w:t>
      </w:r>
      <w:r w:rsidRPr="00BF689A">
        <w:rPr>
          <w:rFonts w:ascii="楷体" w:eastAsia="楷体" w:hAnsi="楷体" w:hint="eastAsia"/>
          <w:bCs/>
          <w:kern w:val="0"/>
          <w:szCs w:val="21"/>
        </w:rPr>
        <w:t>点是阳气最盛的时段，此时食用冰淇淋或冰饮，脾胃的消化火力足以运化寒凉，不会给身体造成过重负担。晚间及睡前切勿食用冰饮冷食，此时阳气沉降，脾胃难以将脏腑调回常温，久而久之易造成体内寒湿淤积。</w:t>
      </w:r>
    </w:p>
    <w:p w:rsidR="00BF689A" w:rsidRPr="00BF689A" w:rsidRDefault="00BF689A" w:rsidP="00BF689A">
      <w:pPr>
        <w:pStyle w:val="aa"/>
        <w:ind w:left="420" w:firstLineChars="0" w:firstLine="0"/>
        <w:rPr>
          <w:rFonts w:ascii="楷体" w:eastAsia="楷体" w:hAnsi="楷体" w:hint="eastAsia"/>
          <w:bCs/>
          <w:kern w:val="0"/>
          <w:szCs w:val="21"/>
        </w:rPr>
      </w:pPr>
    </w:p>
    <w:p w:rsidR="006364A3" w:rsidRDefault="006364A3" w:rsidP="00BF689A">
      <w:pPr>
        <w:pStyle w:val="aa"/>
        <w:numPr>
          <w:ilvl w:val="0"/>
          <w:numId w:val="2"/>
        </w:numPr>
        <w:ind w:firstLineChars="0"/>
        <w:rPr>
          <w:rFonts w:ascii="楷体" w:eastAsia="楷体" w:hAnsi="楷体"/>
          <w:bCs/>
          <w:kern w:val="0"/>
          <w:szCs w:val="21"/>
        </w:rPr>
      </w:pPr>
      <w:r w:rsidRPr="00BF689A">
        <w:rPr>
          <w:rFonts w:ascii="楷体" w:eastAsia="楷体" w:hAnsi="楷体" w:hint="eastAsia"/>
          <w:bCs/>
          <w:kern w:val="0"/>
          <w:szCs w:val="21"/>
        </w:rPr>
        <w:t>空腹时不要食用温度极低的食物或饮品。可先喝些热茶、热汤等温热之物，唤醒脾胃、暖化肠胃，避免寒气直接侵袭脏腑。</w:t>
      </w:r>
    </w:p>
    <w:p w:rsidR="00BF689A" w:rsidRPr="00BF689A" w:rsidRDefault="00BF689A" w:rsidP="00BF689A">
      <w:pPr>
        <w:pStyle w:val="aa"/>
        <w:rPr>
          <w:rFonts w:ascii="楷体" w:eastAsia="楷体" w:hAnsi="楷体" w:hint="eastAsia"/>
          <w:bCs/>
          <w:kern w:val="0"/>
          <w:szCs w:val="21"/>
        </w:rPr>
      </w:pPr>
    </w:p>
    <w:p w:rsidR="006364A3" w:rsidRPr="00BF689A" w:rsidRDefault="006364A3" w:rsidP="00BF689A">
      <w:pPr>
        <w:pStyle w:val="aa"/>
        <w:numPr>
          <w:ilvl w:val="0"/>
          <w:numId w:val="2"/>
        </w:numPr>
        <w:ind w:firstLineChars="0"/>
        <w:rPr>
          <w:rFonts w:ascii="楷体" w:eastAsia="楷体" w:hAnsi="楷体" w:hint="eastAsia"/>
          <w:bCs/>
          <w:kern w:val="0"/>
          <w:szCs w:val="21"/>
        </w:rPr>
      </w:pPr>
      <w:r w:rsidRPr="00BF689A">
        <w:rPr>
          <w:rFonts w:ascii="楷体" w:eastAsia="楷体" w:hAnsi="楷体" w:hint="eastAsia"/>
          <w:bCs/>
          <w:kern w:val="0"/>
          <w:szCs w:val="21"/>
        </w:rPr>
        <w:t>吃冰</w:t>
      </w:r>
      <w:proofErr w:type="gramStart"/>
      <w:r w:rsidRPr="00BF689A">
        <w:rPr>
          <w:rFonts w:ascii="楷体" w:eastAsia="楷体" w:hAnsi="楷体" w:hint="eastAsia"/>
          <w:bCs/>
          <w:kern w:val="0"/>
          <w:szCs w:val="21"/>
        </w:rPr>
        <w:t>比喝冰饮</w:t>
      </w:r>
      <w:proofErr w:type="gramEnd"/>
      <w:r w:rsidRPr="00BF689A">
        <w:rPr>
          <w:rFonts w:ascii="楷体" w:eastAsia="楷体" w:hAnsi="楷体" w:hint="eastAsia"/>
          <w:bCs/>
          <w:kern w:val="0"/>
          <w:szCs w:val="21"/>
        </w:rPr>
        <w:t>对身体更友好：冰块在口中充分融化后才进入胃部，温度已有所回升；而大口灌下</w:t>
      </w:r>
      <w:proofErr w:type="gramStart"/>
      <w:r w:rsidRPr="00BF689A">
        <w:rPr>
          <w:rFonts w:ascii="楷体" w:eastAsia="楷体" w:hAnsi="楷体" w:hint="eastAsia"/>
          <w:bCs/>
          <w:kern w:val="0"/>
          <w:szCs w:val="21"/>
        </w:rPr>
        <w:t>冰饮会骤然</w:t>
      </w:r>
      <w:proofErr w:type="gramEnd"/>
      <w:r w:rsidRPr="00BF689A">
        <w:rPr>
          <w:rFonts w:ascii="楷体" w:eastAsia="楷体" w:hAnsi="楷体" w:hint="eastAsia"/>
          <w:bCs/>
          <w:kern w:val="0"/>
          <w:szCs w:val="21"/>
        </w:rPr>
        <w:t>刺激脾胃，打乱其正常运化节律。</w:t>
      </w:r>
    </w:p>
    <w:p w:rsidR="003A19E5" w:rsidRDefault="003A19E5">
      <w:pPr>
        <w:rPr>
          <w:b/>
          <w:color w:val="000000"/>
          <w:szCs w:val="21"/>
        </w:rPr>
      </w:pPr>
    </w:p>
    <w:p w:rsidR="003A19E5" w:rsidRDefault="003A19E5">
      <w:pPr>
        <w:rPr>
          <w:b/>
          <w:color w:val="000000"/>
          <w:szCs w:val="21"/>
        </w:rPr>
      </w:pPr>
    </w:p>
    <w:p w:rsidR="003A19E5" w:rsidRDefault="00AF1283" w:rsidP="006364A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3A19E5" w:rsidRDefault="003A19E5" w:rsidP="006364A3">
      <w:pPr>
        <w:rPr>
          <w:bCs/>
          <w:color w:val="000000"/>
          <w:szCs w:val="21"/>
        </w:rPr>
      </w:pPr>
    </w:p>
    <w:p w:rsidR="003A19E5" w:rsidRDefault="00AF1283" w:rsidP="006364A3">
      <w:pPr>
        <w:ind w:firstLineChars="200" w:firstLine="422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7620</wp:posOffset>
            </wp:positionV>
            <wp:extent cx="769620" cy="1137285"/>
            <wp:effectExtent l="0" t="0" r="0" b="5715"/>
            <wp:wrapSquare wrapText="bothSides"/>
            <wp:docPr id="4" name="图片 4" descr="QQ20260416-09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416-090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阿达·黄（</w:t>
      </w:r>
      <w:r>
        <w:rPr>
          <w:rFonts w:hint="eastAsia"/>
          <w:b/>
          <w:bCs/>
          <w:color w:val="000000"/>
          <w:szCs w:val="21"/>
        </w:rPr>
        <w:t xml:space="preserve">Ada </w:t>
      </w:r>
      <w:proofErr w:type="spellStart"/>
      <w:r>
        <w:rPr>
          <w:rFonts w:hint="eastAsia"/>
          <w:b/>
          <w:bCs/>
          <w:color w:val="000000"/>
          <w:szCs w:val="21"/>
        </w:rPr>
        <w:t>Ooi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出生于香港，在澳门长大，童年时的周末常在她祖父的药店里度过。她的祖父是受过西医培训的药剂师，将现代药物处方与针对个人体质调配的中</w:t>
      </w:r>
      <w:bookmarkStart w:id="1" w:name="_GoBack"/>
      <w:bookmarkEnd w:id="1"/>
      <w:r>
        <w:rPr>
          <w:rFonts w:hint="eastAsia"/>
          <w:color w:val="000000"/>
          <w:szCs w:val="21"/>
        </w:rPr>
        <w:t>草药相结合。阿达曾在中国中医科学院以及由北京中医药大学参与的英国中</w:t>
      </w:r>
      <w:r>
        <w:rPr>
          <w:rFonts w:hint="eastAsia"/>
          <w:color w:val="000000"/>
          <w:szCs w:val="21"/>
        </w:rPr>
        <w:t>医学院和注册机构接受培训。在接受中医培训的同时，她还拥有心理学硕士学位，并且是英国心理学会的合格会员。</w:t>
      </w:r>
      <w:r w:rsidR="00BF689A" w:rsidRPr="00BF689A">
        <w:rPr>
          <w:rFonts w:hint="eastAsia"/>
          <w:color w:val="000000"/>
          <w:szCs w:val="21"/>
        </w:rPr>
        <w:t>《</w:t>
      </w:r>
      <w:r w:rsidR="00BF689A" w:rsidRPr="00BF689A">
        <w:rPr>
          <w:rFonts w:hint="eastAsia"/>
          <w:color w:val="000000"/>
          <w:szCs w:val="21"/>
        </w:rPr>
        <w:t>Vogue</w:t>
      </w:r>
      <w:r w:rsidR="00BF689A" w:rsidRPr="00BF689A">
        <w:rPr>
          <w:rFonts w:hint="eastAsia"/>
          <w:color w:val="000000"/>
          <w:szCs w:val="21"/>
        </w:rPr>
        <w:t>》杂志评价她“真正具有革新精神”。</w:t>
      </w:r>
    </w:p>
    <w:p w:rsidR="003A19E5" w:rsidRPr="00BF689A" w:rsidRDefault="003A19E5" w:rsidP="006364A3">
      <w:pPr>
        <w:jc w:val="left"/>
        <w:rPr>
          <w:b/>
          <w:bCs/>
          <w:color w:val="000000"/>
          <w:szCs w:val="21"/>
        </w:rPr>
      </w:pPr>
    </w:p>
    <w:p w:rsidR="003A19E5" w:rsidRDefault="003A19E5">
      <w:pPr>
        <w:ind w:right="420"/>
        <w:jc w:val="left"/>
        <w:rPr>
          <w:b/>
          <w:bCs/>
          <w:color w:val="000000"/>
          <w:szCs w:val="21"/>
        </w:rPr>
      </w:pPr>
    </w:p>
    <w:p w:rsidR="003A19E5" w:rsidRDefault="00AF1283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3A19E5" w:rsidRDefault="00AF1283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3A19E5" w:rsidRDefault="00AF1283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</w:t>
        </w:r>
        <w:r>
          <w:rPr>
            <w:rStyle w:val="a9"/>
          </w:rPr>
          <w:t>/www.nurnberg.com.cn/book/book.aspx</w:t>
        </w:r>
      </w:hyperlink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3A19E5" w:rsidRDefault="00AF1283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3A19E5" w:rsidRDefault="00AF1283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3A19E5" w:rsidRDefault="00AF1283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3A19E5" w:rsidRDefault="00AF128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9E5" w:rsidRDefault="003A19E5">
      <w:pPr>
        <w:widowControl/>
        <w:jc w:val="left"/>
        <w:rPr>
          <w:color w:val="000000"/>
        </w:rPr>
      </w:pPr>
    </w:p>
    <w:sectPr w:rsidR="003A19E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83" w:rsidRDefault="00AF1283">
      <w:r>
        <w:separator/>
      </w:r>
    </w:p>
  </w:endnote>
  <w:endnote w:type="continuationSeparator" w:id="0">
    <w:p w:rsidR="00AF1283" w:rsidRDefault="00AF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E5" w:rsidRDefault="003A19E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A19E5" w:rsidRDefault="003A19E5">
    <w:pPr>
      <w:jc w:val="center"/>
      <w:rPr>
        <w:rFonts w:ascii="方正姚体" w:eastAsia="方正姚体"/>
        <w:sz w:val="18"/>
      </w:rPr>
    </w:pPr>
  </w:p>
  <w:p w:rsidR="003A19E5" w:rsidRDefault="00AF128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A19E5" w:rsidRDefault="00AF128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A19E5" w:rsidRDefault="00AF128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A19E5" w:rsidRDefault="003A19E5">
    <w:pPr>
      <w:pStyle w:val="a4"/>
      <w:jc w:val="center"/>
      <w:rPr>
        <w:rFonts w:eastAsia="方正姚体"/>
      </w:rPr>
    </w:pPr>
  </w:p>
  <w:p w:rsidR="003A19E5" w:rsidRDefault="00AF1283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F689A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83" w:rsidRDefault="00AF1283">
      <w:r>
        <w:separator/>
      </w:r>
    </w:p>
  </w:footnote>
  <w:footnote w:type="continuationSeparator" w:id="0">
    <w:p w:rsidR="00AF1283" w:rsidRDefault="00AF1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E5" w:rsidRDefault="00AF128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19E5" w:rsidRDefault="00AF1283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D66FA"/>
    <w:multiLevelType w:val="hybridMultilevel"/>
    <w:tmpl w:val="A3CAF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19E5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364A3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1283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BF689A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C1934F8"/>
    <w:rsid w:val="3CB037D7"/>
    <w:rsid w:val="3E16450A"/>
    <w:rsid w:val="406B3CF1"/>
    <w:rsid w:val="42B533F0"/>
    <w:rsid w:val="432A1201"/>
    <w:rsid w:val="432C279F"/>
    <w:rsid w:val="459C0CF6"/>
    <w:rsid w:val="46B43896"/>
    <w:rsid w:val="473A51A1"/>
    <w:rsid w:val="48B921FE"/>
    <w:rsid w:val="4AE76519"/>
    <w:rsid w:val="543E2C5B"/>
    <w:rsid w:val="58DF0B08"/>
    <w:rsid w:val="5AB726B1"/>
    <w:rsid w:val="5FD16133"/>
    <w:rsid w:val="601E082E"/>
    <w:rsid w:val="60B3492E"/>
    <w:rsid w:val="628A59A3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221EB01-05AA-4E29-A100-8B572BC7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972</Words>
  <Characters>1392</Characters>
  <Application>Microsoft Office Word</Application>
  <DocSecurity>0</DocSecurity>
  <Lines>77</Lines>
  <Paragraphs>63</Paragraphs>
  <ScaleCrop>false</ScaleCrop>
  <Company>2ndSpAcE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2026-07-17T02:46:00Z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