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01D5386" w:rsidR="00AE574A" w:rsidRPr="00BD0ACA" w:rsidRDefault="00AE574A">
      <w:pPr>
        <w:rPr>
          <w:b/>
          <w:color w:val="000000"/>
          <w:szCs w:val="21"/>
        </w:rPr>
      </w:pPr>
    </w:p>
    <w:p w14:paraId="3DA7336F" w14:textId="701A0D33" w:rsidR="00774233" w:rsidRPr="00774233" w:rsidRDefault="005C6BB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FBCBA3C" wp14:editId="3CBF7DD2">
            <wp:simplePos x="0" y="0"/>
            <wp:positionH relativeFrom="margin">
              <wp:align>right</wp:align>
            </wp:positionH>
            <wp:positionV relativeFrom="paragraph">
              <wp:posOffset>8880</wp:posOffset>
            </wp:positionV>
            <wp:extent cx="1454150" cy="1844040"/>
            <wp:effectExtent l="0" t="0" r="0" b="3810"/>
            <wp:wrapSquare wrapText="bothSides"/>
            <wp:docPr id="3" name="图片 3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5" t="210" r="5717" b="13326"/>
                    <a:stretch/>
                  </pic:blipFill>
                  <pic:spPr bwMode="auto">
                    <a:xfrm>
                      <a:off x="0" y="0"/>
                      <a:ext cx="145415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434EF">
        <w:rPr>
          <w:rFonts w:hint="eastAsia"/>
          <w:b/>
          <w:bCs/>
          <w:color w:val="000000"/>
          <w:szCs w:val="21"/>
        </w:rPr>
        <w:t>化学立方：无机化学，有机化学和物理化学</w:t>
      </w:r>
      <w:r w:rsidR="004F3520">
        <w:rPr>
          <w:rFonts w:hint="eastAsia"/>
          <w:b/>
          <w:bCs/>
          <w:color w:val="000000"/>
          <w:szCs w:val="21"/>
        </w:rPr>
        <w:t>（第</w:t>
      </w:r>
      <w:r w:rsidR="001434EF">
        <w:rPr>
          <w:rFonts w:hint="eastAsia"/>
          <w:b/>
          <w:bCs/>
          <w:color w:val="000000"/>
          <w:szCs w:val="21"/>
        </w:rPr>
        <w:t>五</w:t>
      </w:r>
      <w:r w:rsidR="004F3520">
        <w:rPr>
          <w:rFonts w:hint="eastAsia"/>
          <w:b/>
          <w:bCs/>
          <w:color w:val="000000"/>
          <w:szCs w:val="21"/>
        </w:rPr>
        <w:t>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3B2444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434EF" w:rsidRPr="001434EF">
        <w:rPr>
          <w:b/>
          <w:bCs/>
          <w:color w:val="000000"/>
          <w:szCs w:val="21"/>
        </w:rPr>
        <w:t>C</w:t>
      </w:r>
      <w:r w:rsidR="001434EF">
        <w:rPr>
          <w:b/>
          <w:bCs/>
          <w:color w:val="000000"/>
          <w:szCs w:val="21"/>
        </w:rPr>
        <w:t>HEMISTRY</w:t>
      </w:r>
      <w:r w:rsidR="001434EF" w:rsidRPr="001434EF">
        <w:rPr>
          <w:b/>
          <w:bCs/>
          <w:color w:val="000000"/>
          <w:szCs w:val="21"/>
        </w:rPr>
        <w:t>³</w:t>
      </w:r>
      <w:r w:rsidR="001434EF">
        <w:rPr>
          <w:b/>
          <w:bCs/>
          <w:color w:val="000000"/>
          <w:szCs w:val="21"/>
        </w:rPr>
        <w:t xml:space="preserve">: </w:t>
      </w:r>
      <w:r w:rsidR="001434EF" w:rsidRPr="001434EF">
        <w:rPr>
          <w:b/>
          <w:bCs/>
          <w:color w:val="000000"/>
          <w:szCs w:val="21"/>
        </w:rPr>
        <w:t>Introducing inorganic, organic and physical chemistry</w:t>
      </w:r>
      <w:r w:rsidR="005C6BB8">
        <w:rPr>
          <w:rFonts w:hint="eastAsia"/>
          <w:b/>
          <w:bCs/>
          <w:color w:val="000000"/>
          <w:szCs w:val="21"/>
        </w:rPr>
        <w:t>,</w:t>
      </w:r>
      <w:r w:rsidR="005C6BB8">
        <w:rPr>
          <w:b/>
          <w:bCs/>
          <w:color w:val="000000"/>
          <w:szCs w:val="21"/>
        </w:rPr>
        <w:t xml:space="preserve"> </w:t>
      </w:r>
      <w:r w:rsidR="005C6BB8" w:rsidRPr="005C6BB8">
        <w:rPr>
          <w:b/>
          <w:bCs/>
          <w:color w:val="000000"/>
          <w:szCs w:val="21"/>
        </w:rPr>
        <w:t>Fifth Edition</w:t>
      </w:r>
    </w:p>
    <w:p w14:paraId="39B7E419" w14:textId="05B88F73" w:rsidR="00774233" w:rsidRPr="00CC4E78" w:rsidRDefault="00774233" w:rsidP="00360BFF">
      <w:pPr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360BFF" w:rsidRPr="00360BFF">
        <w:rPr>
          <w:b/>
          <w:bCs/>
          <w:color w:val="000000"/>
          <w:szCs w:val="21"/>
        </w:rPr>
        <w:t>Andrew Burrows, Nick Greeves, John Holman, Simon Lancaster, Andrew Parsons, Tina Overton, and Gareth Price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FDB71B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B66A8">
        <w:rPr>
          <w:b/>
          <w:bCs/>
          <w:color w:val="000000"/>
          <w:szCs w:val="21"/>
        </w:rPr>
        <w:t>1208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12B324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F352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F3520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2055B5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5C6BB8">
        <w:rPr>
          <w:rFonts w:hint="eastAsia"/>
          <w:b/>
          <w:bCs/>
          <w:szCs w:val="21"/>
        </w:rPr>
        <w:t>暂无（可先登记兴趣）</w:t>
      </w:r>
    </w:p>
    <w:p w14:paraId="77C966FF" w14:textId="33D7626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6BB8">
        <w:rPr>
          <w:rFonts w:hint="eastAsia"/>
          <w:b/>
          <w:bCs/>
          <w:szCs w:val="21"/>
        </w:rPr>
        <w:t>参考书</w:t>
      </w:r>
    </w:p>
    <w:p w14:paraId="1D7FB5F0" w14:textId="320F4BC4" w:rsidR="000B66A8" w:rsidRPr="000B66A8" w:rsidRDefault="000B66A8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B66A8">
        <w:rPr>
          <w:rFonts w:hint="eastAsia"/>
          <w:b/>
          <w:bCs/>
          <w:color w:val="FF0000"/>
          <w:szCs w:val="21"/>
        </w:rPr>
        <w:t>版权已授：希腊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5C6BB8" w:rsidRDefault="000915E8">
      <w:pPr>
        <w:rPr>
          <w:b/>
          <w:color w:val="000000"/>
          <w:szCs w:val="21"/>
        </w:rPr>
      </w:pPr>
      <w:r w:rsidRPr="005C6BB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E278122" w:rsidR="002E0851" w:rsidRDefault="00E30E6F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30E6F">
        <w:rPr>
          <w:rFonts w:hint="eastAsia"/>
          <w:color w:val="000000"/>
          <w:szCs w:val="21"/>
        </w:rPr>
        <w:t>新版专为数字学习而设计，</w:t>
      </w:r>
      <w:r>
        <w:rPr>
          <w:rFonts w:hint="eastAsia"/>
          <w:color w:val="000000"/>
          <w:szCs w:val="21"/>
        </w:rPr>
        <w:t>增加了</w:t>
      </w:r>
      <w:r w:rsidRPr="00E30E6F">
        <w:rPr>
          <w:rFonts w:hint="eastAsia"/>
          <w:color w:val="000000"/>
          <w:szCs w:val="21"/>
        </w:rPr>
        <w:t>自我评估</w:t>
      </w:r>
      <w:r>
        <w:rPr>
          <w:rFonts w:hint="eastAsia"/>
          <w:color w:val="000000"/>
          <w:szCs w:val="21"/>
        </w:rPr>
        <w:t>练习</w:t>
      </w:r>
      <w:r w:rsidRPr="00E30E6F">
        <w:rPr>
          <w:rFonts w:hint="eastAsia"/>
          <w:color w:val="000000"/>
          <w:szCs w:val="21"/>
        </w:rPr>
        <w:t>和多媒体内容，包括分子结构的交互式动画、分层</w:t>
      </w:r>
      <w:r w:rsidR="00642642">
        <w:rPr>
          <w:rFonts w:hint="eastAsia"/>
          <w:color w:val="000000"/>
          <w:szCs w:val="21"/>
        </w:rPr>
        <w:t>图片和视频</w:t>
      </w:r>
      <w:r w:rsidRPr="00E30E6F">
        <w:rPr>
          <w:rFonts w:hint="eastAsia"/>
          <w:color w:val="000000"/>
          <w:szCs w:val="21"/>
        </w:rPr>
        <w:t>，</w:t>
      </w:r>
      <w:r w:rsidR="00642642">
        <w:rPr>
          <w:rFonts w:hint="eastAsia"/>
          <w:color w:val="000000"/>
          <w:szCs w:val="21"/>
        </w:rPr>
        <w:t>本书</w:t>
      </w:r>
      <w:r w:rsidRPr="00E30E6F">
        <w:rPr>
          <w:rFonts w:hint="eastAsia"/>
          <w:color w:val="000000"/>
          <w:szCs w:val="21"/>
        </w:rPr>
        <w:t>作者和</w:t>
      </w:r>
      <w:r w:rsidR="00642642">
        <w:rPr>
          <w:rFonts w:hint="eastAsia"/>
          <w:color w:val="000000"/>
          <w:szCs w:val="21"/>
        </w:rPr>
        <w:t>其他</w:t>
      </w:r>
      <w:r w:rsidRPr="00E30E6F">
        <w:rPr>
          <w:rFonts w:hint="eastAsia"/>
          <w:color w:val="000000"/>
          <w:szCs w:val="21"/>
        </w:rPr>
        <w:t>化学家在</w:t>
      </w:r>
      <w:r w:rsidR="00642642">
        <w:rPr>
          <w:rFonts w:hint="eastAsia"/>
          <w:color w:val="000000"/>
          <w:szCs w:val="21"/>
        </w:rPr>
        <w:t>视频中</w:t>
      </w:r>
      <w:r w:rsidRPr="00E30E6F">
        <w:rPr>
          <w:rFonts w:hint="eastAsia"/>
          <w:color w:val="000000"/>
          <w:szCs w:val="21"/>
        </w:rPr>
        <w:t>逐步讨论示例和关键反应机制，以提供完全沉浸式的体验和额外的学习支持。</w:t>
      </w:r>
      <w:r w:rsidR="00E05792">
        <w:rPr>
          <w:rFonts w:hint="eastAsia"/>
          <w:color w:val="000000"/>
          <w:szCs w:val="21"/>
        </w:rPr>
        <w:t>。</w:t>
      </w:r>
    </w:p>
    <w:p w14:paraId="5FD15C31" w14:textId="07B70A6B" w:rsidR="006F3990" w:rsidRDefault="00ED4AA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D4AA9">
        <w:rPr>
          <w:rFonts w:hint="eastAsia"/>
          <w:color w:val="000000"/>
          <w:szCs w:val="21"/>
        </w:rPr>
        <w:t>最平易近人、最引人入胜的化学入门</w:t>
      </w:r>
      <w:r w:rsidR="00D1145A">
        <w:rPr>
          <w:rFonts w:hint="eastAsia"/>
          <w:color w:val="000000"/>
          <w:szCs w:val="21"/>
        </w:rPr>
        <w:t>。</w:t>
      </w:r>
    </w:p>
    <w:p w14:paraId="405781A7" w14:textId="7C88FCF7" w:rsidR="00A275B9" w:rsidRDefault="00ED4AA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D4AA9">
        <w:rPr>
          <w:rFonts w:hint="eastAsia"/>
          <w:color w:val="000000"/>
          <w:szCs w:val="21"/>
        </w:rPr>
        <w:t>涵盖了化学的所有三个分支——有机、无机和物理</w:t>
      </w:r>
      <w:r>
        <w:rPr>
          <w:rFonts w:hint="eastAsia"/>
          <w:color w:val="000000"/>
          <w:szCs w:val="21"/>
        </w:rPr>
        <w:t>化学</w:t>
      </w:r>
      <w:r w:rsidRPr="00ED4AA9"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全面覆盖了这一学科的各个领域</w:t>
      </w:r>
      <w:r w:rsidR="00A275B9">
        <w:rPr>
          <w:rFonts w:hint="eastAsia"/>
          <w:color w:val="000000"/>
          <w:szCs w:val="21"/>
        </w:rPr>
        <w:t>。</w:t>
      </w:r>
    </w:p>
    <w:p w14:paraId="1C6C529B" w14:textId="3066D339" w:rsidR="00A275B9" w:rsidRDefault="00ED4AA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</w:t>
      </w:r>
      <w:r w:rsidRPr="00ED4AA9">
        <w:rPr>
          <w:rFonts w:hint="eastAsia"/>
          <w:color w:val="000000"/>
          <w:szCs w:val="21"/>
        </w:rPr>
        <w:t>由化学各领域的专家和经验丰富的教育工作者撰写，将权威内容与</w:t>
      </w:r>
      <w:r>
        <w:rPr>
          <w:rFonts w:hint="eastAsia"/>
          <w:color w:val="000000"/>
          <w:szCs w:val="21"/>
        </w:rPr>
        <w:t>精彩的叙述</w:t>
      </w:r>
      <w:r w:rsidRPr="00ED4AA9">
        <w:rPr>
          <w:rFonts w:hint="eastAsia"/>
          <w:color w:val="000000"/>
          <w:szCs w:val="21"/>
        </w:rPr>
        <w:t>相结合，为各级学习者提供支持</w:t>
      </w:r>
      <w:r w:rsidR="00A275B9">
        <w:rPr>
          <w:rFonts w:hint="eastAsia"/>
          <w:color w:val="000000"/>
          <w:szCs w:val="21"/>
        </w:rPr>
        <w:t>。</w:t>
      </w:r>
    </w:p>
    <w:p w14:paraId="73C1F969" w14:textId="0ED07D4D" w:rsidR="00ED4AA9" w:rsidRDefault="00ED4AA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D4AA9">
        <w:rPr>
          <w:rFonts w:hint="eastAsia"/>
          <w:color w:val="000000"/>
          <w:szCs w:val="21"/>
        </w:rPr>
        <w:t>其精心</w:t>
      </w:r>
      <w:r>
        <w:rPr>
          <w:rFonts w:hint="eastAsia"/>
          <w:color w:val="000000"/>
          <w:szCs w:val="21"/>
        </w:rPr>
        <w:t>组织的内容</w:t>
      </w:r>
      <w:r w:rsidRPr="00ED4AA9">
        <w:rPr>
          <w:rFonts w:hint="eastAsia"/>
          <w:color w:val="000000"/>
          <w:szCs w:val="21"/>
        </w:rPr>
        <w:t>建立在学生的先验知识之上，弥合了</w:t>
      </w:r>
      <w:r>
        <w:rPr>
          <w:rFonts w:hint="eastAsia"/>
          <w:color w:val="000000"/>
          <w:szCs w:val="21"/>
        </w:rPr>
        <w:t>中学</w:t>
      </w:r>
      <w:r w:rsidRPr="00ED4AA9">
        <w:rPr>
          <w:rFonts w:hint="eastAsia"/>
          <w:color w:val="000000"/>
          <w:szCs w:val="21"/>
        </w:rPr>
        <w:t>和大学水平化学之间的差距，</w:t>
      </w:r>
      <w:r>
        <w:rPr>
          <w:rFonts w:hint="eastAsia"/>
          <w:color w:val="000000"/>
          <w:szCs w:val="21"/>
        </w:rPr>
        <w:t>帮助学生为之后的学习打牢基础</w:t>
      </w:r>
      <w:r w:rsidRPr="00ED4AA9">
        <w:rPr>
          <w:rFonts w:hint="eastAsia"/>
          <w:color w:val="000000"/>
          <w:szCs w:val="21"/>
        </w:rPr>
        <w:t>。</w:t>
      </w:r>
    </w:p>
    <w:p w14:paraId="6F639A15" w14:textId="76ABE9D2" w:rsidR="00ED4AA9" w:rsidRDefault="00ED4AA9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D4AA9">
        <w:rPr>
          <w:rFonts w:hint="eastAsia"/>
          <w:color w:val="000000"/>
          <w:szCs w:val="21"/>
        </w:rPr>
        <w:t>整本书</w:t>
      </w:r>
      <w:r>
        <w:rPr>
          <w:rFonts w:hint="eastAsia"/>
          <w:color w:val="000000"/>
          <w:szCs w:val="21"/>
        </w:rPr>
        <w:t>中</w:t>
      </w:r>
      <w:r w:rsidRPr="00ED4AA9">
        <w:rPr>
          <w:rFonts w:hint="eastAsia"/>
          <w:color w:val="000000"/>
          <w:szCs w:val="21"/>
        </w:rPr>
        <w:t>的背景和</w:t>
      </w:r>
      <w:r>
        <w:rPr>
          <w:rFonts w:hint="eastAsia"/>
          <w:color w:val="000000"/>
          <w:szCs w:val="21"/>
        </w:rPr>
        <w:t>图片</w:t>
      </w:r>
      <w:r w:rsidRPr="00ED4AA9">
        <w:rPr>
          <w:rFonts w:hint="eastAsia"/>
          <w:color w:val="000000"/>
          <w:szCs w:val="21"/>
        </w:rPr>
        <w:t>突出了日常生活中化学的</w:t>
      </w:r>
      <w:r>
        <w:rPr>
          <w:rFonts w:hint="eastAsia"/>
          <w:color w:val="000000"/>
          <w:szCs w:val="21"/>
        </w:rPr>
        <w:t>案例</w:t>
      </w:r>
      <w:r w:rsidRPr="00ED4AA9">
        <w:rPr>
          <w:rFonts w:hint="eastAsia"/>
          <w:color w:val="000000"/>
          <w:szCs w:val="21"/>
        </w:rPr>
        <w:t>，吸引了学生，并提醒他们化学在我们社会中的核心作用。</w:t>
      </w:r>
    </w:p>
    <w:p w14:paraId="3C360A9C" w14:textId="4C251A26" w:rsidR="00D70F0C" w:rsidRDefault="00D70F0C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D70F0C">
        <w:rPr>
          <w:rFonts w:hint="eastAsia"/>
          <w:color w:val="000000"/>
          <w:szCs w:val="21"/>
        </w:rPr>
        <w:t>现在试试这个”</w:t>
      </w:r>
      <w:r>
        <w:rPr>
          <w:rFonts w:hint="eastAsia"/>
          <w:color w:val="000000"/>
          <w:szCs w:val="21"/>
        </w:rPr>
        <w:t>栏目有需要学生利用知识解决的问题</w:t>
      </w:r>
      <w:r w:rsidRPr="00D70F0C">
        <w:rPr>
          <w:rFonts w:hint="eastAsia"/>
          <w:color w:val="000000"/>
          <w:szCs w:val="21"/>
        </w:rPr>
        <w:t>，以嵌入解决问题的技能。</w:t>
      </w:r>
    </w:p>
    <w:p w14:paraId="4668EF7B" w14:textId="4836ABE7" w:rsidR="00D70F0C" w:rsidRDefault="00EA643B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仔细设计</w:t>
      </w:r>
      <w:r w:rsidR="00D70F0C" w:rsidRPr="00D70F0C">
        <w:rPr>
          <w:rFonts w:hint="eastAsia"/>
          <w:color w:val="000000"/>
          <w:szCs w:val="21"/>
        </w:rPr>
        <w:t>的交叉引用突出了</w:t>
      </w:r>
      <w:r w:rsidR="00D70F0C">
        <w:rPr>
          <w:rFonts w:hint="eastAsia"/>
          <w:color w:val="000000"/>
          <w:szCs w:val="21"/>
        </w:rPr>
        <w:t>各个</w:t>
      </w:r>
      <w:r w:rsidR="00D70F0C" w:rsidRPr="00D70F0C">
        <w:rPr>
          <w:rFonts w:hint="eastAsia"/>
          <w:color w:val="000000"/>
          <w:szCs w:val="21"/>
        </w:rPr>
        <w:t>主题之间的联系，帮助学生理解化学</w:t>
      </w:r>
      <w:r w:rsidR="00D70F0C">
        <w:rPr>
          <w:rFonts w:hint="eastAsia"/>
          <w:color w:val="000000"/>
          <w:szCs w:val="21"/>
        </w:rPr>
        <w:t>是</w:t>
      </w:r>
      <w:r w:rsidR="00D70F0C" w:rsidRPr="00D70F0C">
        <w:rPr>
          <w:rFonts w:hint="eastAsia"/>
          <w:color w:val="000000"/>
          <w:szCs w:val="21"/>
        </w:rPr>
        <w:t>一门相互关联的科学。</w:t>
      </w:r>
    </w:p>
    <w:p w14:paraId="68ECFEE9" w14:textId="71729144" w:rsidR="00A275B9" w:rsidRPr="00EA643B" w:rsidRDefault="00A275B9" w:rsidP="00A275B9">
      <w:pPr>
        <w:rPr>
          <w:color w:val="000000"/>
          <w:szCs w:val="21"/>
        </w:rPr>
      </w:pPr>
    </w:p>
    <w:p w14:paraId="533BE15A" w14:textId="165759C3" w:rsidR="00A275B9" w:rsidRDefault="005C6BB8" w:rsidP="00A275B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本版</w:t>
      </w:r>
      <w:r w:rsidR="00A275B9">
        <w:rPr>
          <w:rFonts w:hint="eastAsia"/>
          <w:color w:val="000000"/>
          <w:szCs w:val="21"/>
        </w:rPr>
        <w:t>更新内容：</w:t>
      </w:r>
    </w:p>
    <w:p w14:paraId="52F07D9C" w14:textId="6F0FA070" w:rsidR="00A275B9" w:rsidRDefault="00A275B9" w:rsidP="00A275B9">
      <w:pPr>
        <w:rPr>
          <w:color w:val="000000"/>
          <w:szCs w:val="21"/>
        </w:rPr>
      </w:pPr>
    </w:p>
    <w:p w14:paraId="458ACF90" w14:textId="1EF159E1" w:rsidR="00A275B9" w:rsidRDefault="00EA643B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EA643B">
        <w:rPr>
          <w:rFonts w:hint="eastAsia"/>
          <w:color w:val="000000"/>
          <w:szCs w:val="21"/>
        </w:rPr>
        <w:t>从绿色化学和生命周期评估等基础概念到</w:t>
      </w:r>
      <w:r w:rsidRPr="00EA643B">
        <w:rPr>
          <w:rFonts w:hint="eastAsia"/>
          <w:color w:val="000000"/>
          <w:szCs w:val="21"/>
        </w:rPr>
        <w:t>BHC</w:t>
      </w:r>
      <w:r w:rsidRPr="00EA643B">
        <w:rPr>
          <w:rFonts w:hint="eastAsia"/>
          <w:color w:val="000000"/>
          <w:szCs w:val="21"/>
        </w:rPr>
        <w:t>合成和温和氧化剂的使用等实际应用，本版增加了对</w:t>
      </w:r>
      <w:r>
        <w:rPr>
          <w:rFonts w:hint="eastAsia"/>
          <w:color w:val="000000"/>
          <w:szCs w:val="21"/>
        </w:rPr>
        <w:t>绿色化学和</w:t>
      </w:r>
      <w:proofErr w:type="gramStart"/>
      <w:r>
        <w:rPr>
          <w:rFonts w:hint="eastAsia"/>
          <w:color w:val="000000"/>
          <w:szCs w:val="21"/>
        </w:rPr>
        <w:t>可</w:t>
      </w:r>
      <w:proofErr w:type="gramEnd"/>
      <w:r>
        <w:rPr>
          <w:rFonts w:hint="eastAsia"/>
          <w:color w:val="000000"/>
          <w:szCs w:val="21"/>
        </w:rPr>
        <w:t>持续化学</w:t>
      </w:r>
      <w:r w:rsidRPr="00EA643B">
        <w:rPr>
          <w:rFonts w:hint="eastAsia"/>
          <w:color w:val="000000"/>
          <w:szCs w:val="21"/>
        </w:rPr>
        <w:t>这一不断发展和重要领域的报道。</w:t>
      </w:r>
      <w:r w:rsidR="00A275B9">
        <w:rPr>
          <w:rFonts w:hint="eastAsia"/>
          <w:color w:val="000000"/>
          <w:szCs w:val="21"/>
        </w:rPr>
        <w:t>。</w:t>
      </w:r>
    </w:p>
    <w:p w14:paraId="6E3426E4" w14:textId="5DBD2FBD" w:rsidR="00A275B9" w:rsidRDefault="00EA643B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体现</w:t>
      </w:r>
      <w:r w:rsidRPr="00EA643B">
        <w:rPr>
          <w:rFonts w:hint="eastAsia"/>
          <w:color w:val="000000"/>
          <w:szCs w:val="21"/>
        </w:rPr>
        <w:t>化学的</w:t>
      </w:r>
      <w:r>
        <w:rPr>
          <w:rFonts w:hint="eastAsia"/>
          <w:color w:val="000000"/>
          <w:szCs w:val="21"/>
        </w:rPr>
        <w:t>多元性，强调广泛的代表性，如对</w:t>
      </w:r>
      <w:r w:rsidRPr="00EA643B">
        <w:rPr>
          <w:rFonts w:hint="eastAsia"/>
          <w:color w:val="000000"/>
          <w:szCs w:val="21"/>
        </w:rPr>
        <w:t>阿尔玛·莱万特·海登</w:t>
      </w:r>
      <w:r>
        <w:rPr>
          <w:rFonts w:hint="eastAsia"/>
          <w:color w:val="000000"/>
          <w:szCs w:val="21"/>
        </w:rPr>
        <w:t>（</w:t>
      </w:r>
      <w:r w:rsidRPr="00EA643B">
        <w:rPr>
          <w:rFonts w:hint="eastAsia"/>
          <w:color w:val="000000"/>
          <w:szCs w:val="21"/>
        </w:rPr>
        <w:t>Alma Levant Hayden</w:t>
      </w:r>
      <w:r>
        <w:rPr>
          <w:rFonts w:hint="eastAsia"/>
          <w:color w:val="000000"/>
          <w:szCs w:val="21"/>
        </w:rPr>
        <w:t>）</w:t>
      </w:r>
      <w:r w:rsidRPr="00EA643B">
        <w:rPr>
          <w:rFonts w:hint="eastAsia"/>
          <w:color w:val="000000"/>
          <w:szCs w:val="21"/>
        </w:rPr>
        <w:t>的关注，强调她对分析化学的开创性贡献。</w:t>
      </w:r>
      <w:r w:rsidR="00A275B9">
        <w:rPr>
          <w:rFonts w:hint="eastAsia"/>
          <w:color w:val="000000"/>
          <w:szCs w:val="21"/>
        </w:rPr>
        <w:t>。</w:t>
      </w:r>
    </w:p>
    <w:p w14:paraId="79547F7A" w14:textId="26D18861" w:rsidR="00A275B9" w:rsidRDefault="00EA643B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作为</w:t>
      </w:r>
      <w:r w:rsidRPr="00EA643B">
        <w:rPr>
          <w:rFonts w:hint="eastAsia"/>
          <w:color w:val="000000"/>
          <w:szCs w:val="21"/>
        </w:rPr>
        <w:t>交互式</w:t>
      </w:r>
      <w:r w:rsidRPr="00EA643B">
        <w:rPr>
          <w:rFonts w:hint="eastAsia"/>
          <w:color w:val="000000"/>
          <w:szCs w:val="21"/>
        </w:rPr>
        <w:t>3D</w:t>
      </w:r>
      <w:r w:rsidRPr="00EA643B">
        <w:rPr>
          <w:rFonts w:hint="eastAsia"/>
          <w:color w:val="000000"/>
          <w:szCs w:val="21"/>
        </w:rPr>
        <w:t>可视化电子书</w:t>
      </w:r>
      <w:r>
        <w:rPr>
          <w:rFonts w:hint="eastAsia"/>
          <w:color w:val="000000"/>
          <w:szCs w:val="21"/>
        </w:rPr>
        <w:t>，</w:t>
      </w:r>
      <w:r w:rsidRPr="00EA643B">
        <w:rPr>
          <w:rFonts w:hint="eastAsia"/>
          <w:color w:val="000000"/>
          <w:szCs w:val="21"/>
        </w:rPr>
        <w:t>直接嵌入了</w:t>
      </w:r>
      <w:r w:rsidRPr="00EA643B">
        <w:rPr>
          <w:rFonts w:hint="eastAsia"/>
          <w:color w:val="000000"/>
          <w:szCs w:val="21"/>
        </w:rPr>
        <w:t>150</w:t>
      </w:r>
      <w:r w:rsidRPr="00EA643B">
        <w:rPr>
          <w:rFonts w:hint="eastAsia"/>
          <w:color w:val="000000"/>
          <w:szCs w:val="21"/>
        </w:rPr>
        <w:t>多个交互式</w:t>
      </w:r>
      <w:r w:rsidRPr="00EA643B">
        <w:rPr>
          <w:rFonts w:hint="eastAsia"/>
          <w:color w:val="000000"/>
          <w:szCs w:val="21"/>
        </w:rPr>
        <w:t>3D</w:t>
      </w:r>
      <w:r w:rsidRPr="00EA643B">
        <w:rPr>
          <w:rFonts w:hint="eastAsia"/>
          <w:color w:val="000000"/>
          <w:szCs w:val="21"/>
        </w:rPr>
        <w:t>动画和分子结构，帮助学生轻松</w:t>
      </w:r>
      <w:r w:rsidR="00950A04">
        <w:rPr>
          <w:rFonts w:hint="eastAsia"/>
          <w:color w:val="000000"/>
          <w:szCs w:val="21"/>
        </w:rPr>
        <w:t>将</w:t>
      </w:r>
      <w:r w:rsidRPr="00EA643B">
        <w:rPr>
          <w:rFonts w:hint="eastAsia"/>
          <w:color w:val="000000"/>
          <w:szCs w:val="21"/>
        </w:rPr>
        <w:t>复杂的化学概念</w:t>
      </w:r>
      <w:r w:rsidR="00950A04" w:rsidRPr="00EA643B">
        <w:rPr>
          <w:rFonts w:hint="eastAsia"/>
          <w:color w:val="000000"/>
          <w:szCs w:val="21"/>
        </w:rPr>
        <w:t>可视化</w:t>
      </w:r>
      <w:r w:rsidR="00A275B9">
        <w:rPr>
          <w:rFonts w:hint="eastAsia"/>
          <w:color w:val="000000"/>
          <w:szCs w:val="21"/>
        </w:rPr>
        <w:t>。</w:t>
      </w:r>
    </w:p>
    <w:p w14:paraId="0CF2578E" w14:textId="7957D7CF" w:rsidR="00A275B9" w:rsidRDefault="00950A04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950A04">
        <w:rPr>
          <w:rFonts w:hint="eastAsia"/>
          <w:color w:val="000000"/>
          <w:szCs w:val="21"/>
        </w:rPr>
        <w:t>动画</w:t>
      </w:r>
      <w:r>
        <w:rPr>
          <w:rFonts w:hint="eastAsia"/>
          <w:color w:val="000000"/>
          <w:szCs w:val="21"/>
        </w:rPr>
        <w:t>图片</w:t>
      </w:r>
      <w:r w:rsidRPr="00950A04">
        <w:rPr>
          <w:rFonts w:hint="eastAsia"/>
          <w:color w:val="000000"/>
          <w:szCs w:val="21"/>
        </w:rPr>
        <w:t>有助于更深入地理解。</w:t>
      </w:r>
      <w:r>
        <w:rPr>
          <w:rFonts w:hint="eastAsia"/>
          <w:color w:val="000000"/>
          <w:szCs w:val="21"/>
        </w:rPr>
        <w:t>分段</w:t>
      </w:r>
      <w:r w:rsidRPr="00950A04">
        <w:rPr>
          <w:rFonts w:hint="eastAsia"/>
          <w:color w:val="000000"/>
          <w:szCs w:val="21"/>
        </w:rPr>
        <w:t>的动画</w:t>
      </w:r>
      <w:r>
        <w:rPr>
          <w:rFonts w:hint="eastAsia"/>
          <w:color w:val="000000"/>
          <w:szCs w:val="21"/>
        </w:rPr>
        <w:t>图片</w:t>
      </w:r>
      <w:r w:rsidRPr="00950A04">
        <w:rPr>
          <w:rFonts w:hint="eastAsia"/>
          <w:color w:val="000000"/>
          <w:szCs w:val="21"/>
        </w:rPr>
        <w:t>让学生逐步探索复杂的图表，强化核心思想，</w:t>
      </w:r>
      <w:proofErr w:type="gramStart"/>
      <w:r w:rsidR="003E5940">
        <w:rPr>
          <w:rFonts w:hint="eastAsia"/>
          <w:color w:val="000000"/>
          <w:szCs w:val="21"/>
        </w:rPr>
        <w:t>令概念</w:t>
      </w:r>
      <w:proofErr w:type="gramEnd"/>
      <w:r w:rsidR="003E5940">
        <w:rPr>
          <w:rFonts w:hint="eastAsia"/>
          <w:color w:val="000000"/>
          <w:szCs w:val="21"/>
        </w:rPr>
        <w:t>更为清晰</w:t>
      </w:r>
      <w:r w:rsidR="00A275B9">
        <w:rPr>
          <w:rFonts w:hint="eastAsia"/>
          <w:color w:val="000000"/>
          <w:szCs w:val="21"/>
        </w:rPr>
        <w:t>。</w:t>
      </w:r>
    </w:p>
    <w:p w14:paraId="0FC2F619" w14:textId="21BF3EF3" w:rsidR="00DF3EA5" w:rsidRPr="00A275B9" w:rsidRDefault="00E06978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E06978">
        <w:rPr>
          <w:rFonts w:hint="eastAsia"/>
          <w:color w:val="000000"/>
          <w:szCs w:val="21"/>
        </w:rPr>
        <w:t>带有即时反馈的互动问题。现在，</w:t>
      </w:r>
      <w:proofErr w:type="gramStart"/>
      <w:r w:rsidRPr="00E06978">
        <w:rPr>
          <w:rFonts w:hint="eastAsia"/>
          <w:color w:val="000000"/>
          <w:szCs w:val="21"/>
        </w:rPr>
        <w:t>节末活动</w:t>
      </w:r>
      <w:proofErr w:type="gramEnd"/>
      <w:r w:rsidRPr="00E06978">
        <w:rPr>
          <w:rFonts w:hint="eastAsia"/>
          <w:color w:val="000000"/>
          <w:szCs w:val="21"/>
        </w:rPr>
        <w:t>包括互动问题，旨在促进主动学习并提供即时反馈，</w:t>
      </w:r>
      <w:r w:rsidR="00E13295">
        <w:rPr>
          <w:rFonts w:hint="eastAsia"/>
          <w:color w:val="000000"/>
          <w:szCs w:val="21"/>
        </w:rPr>
        <w:t>巩固学生的理解与记忆</w:t>
      </w:r>
      <w:r w:rsidRPr="00E06978">
        <w:rPr>
          <w:rFonts w:hint="eastAsia"/>
          <w:color w:val="000000"/>
          <w:szCs w:val="21"/>
        </w:rPr>
        <w:t>。</w:t>
      </w:r>
    </w:p>
    <w:p w14:paraId="191EE19B" w14:textId="2930D9F8" w:rsidR="002B62FD" w:rsidRPr="00E13295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2FACCF1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6416BCCE" w:rsidR="00AE574A" w:rsidRPr="00626B30" w:rsidRDefault="00AE574A">
      <w:pPr>
        <w:rPr>
          <w:color w:val="000000"/>
          <w:szCs w:val="21"/>
        </w:rPr>
      </w:pPr>
    </w:p>
    <w:p w14:paraId="0CA71C19" w14:textId="3138D082" w:rsidR="0095633F" w:rsidRPr="00E42920" w:rsidRDefault="00C80721" w:rsidP="004C5B15">
      <w:pPr>
        <w:ind w:firstLineChars="200" w:firstLine="420"/>
        <w:rPr>
          <w:bCs/>
          <w:color w:val="000000"/>
          <w:szCs w:val="21"/>
        </w:rPr>
      </w:pPr>
      <w:r w:rsidRPr="00C80721">
        <w:rPr>
          <w:rFonts w:hint="eastAsia"/>
          <w:bCs/>
          <w:color w:val="000000"/>
          <w:szCs w:val="21"/>
        </w:rPr>
        <w:t>《化学立方</w:t>
      </w:r>
      <w:r>
        <w:rPr>
          <w:rFonts w:hint="eastAsia"/>
          <w:bCs/>
          <w:color w:val="000000"/>
          <w:szCs w:val="21"/>
        </w:rPr>
        <w:t>》讲授</w:t>
      </w:r>
      <w:r w:rsidRPr="00C80721">
        <w:rPr>
          <w:rFonts w:hint="eastAsia"/>
          <w:bCs/>
          <w:color w:val="000000"/>
          <w:szCs w:val="21"/>
        </w:rPr>
        <w:t>了化学</w:t>
      </w:r>
      <w:r>
        <w:rPr>
          <w:rFonts w:hint="eastAsia"/>
          <w:bCs/>
          <w:color w:val="000000"/>
          <w:szCs w:val="21"/>
        </w:rPr>
        <w:t>的</w:t>
      </w:r>
      <w:r w:rsidRPr="00C80721">
        <w:rPr>
          <w:rFonts w:hint="eastAsia"/>
          <w:bCs/>
          <w:color w:val="000000"/>
          <w:szCs w:val="21"/>
        </w:rPr>
        <w:t>三个分支</w:t>
      </w:r>
      <w:r>
        <w:rPr>
          <w:rFonts w:hint="eastAsia"/>
          <w:bCs/>
          <w:color w:val="000000"/>
          <w:szCs w:val="21"/>
        </w:rPr>
        <w:t>——</w:t>
      </w:r>
      <w:r w:rsidRPr="00C80721">
        <w:rPr>
          <w:rFonts w:hint="eastAsia"/>
          <w:bCs/>
          <w:color w:val="000000"/>
          <w:szCs w:val="21"/>
        </w:rPr>
        <w:t>有机</w:t>
      </w:r>
      <w:r>
        <w:rPr>
          <w:rFonts w:hint="eastAsia"/>
          <w:bCs/>
          <w:color w:val="000000"/>
          <w:szCs w:val="21"/>
        </w:rPr>
        <w:t>化学</w:t>
      </w:r>
      <w:r w:rsidRPr="00C80721">
        <w:rPr>
          <w:rFonts w:hint="eastAsia"/>
          <w:bCs/>
          <w:color w:val="000000"/>
          <w:szCs w:val="21"/>
        </w:rPr>
        <w:t>、无机</w:t>
      </w:r>
      <w:r>
        <w:rPr>
          <w:rFonts w:hint="eastAsia"/>
          <w:bCs/>
          <w:color w:val="000000"/>
          <w:szCs w:val="21"/>
        </w:rPr>
        <w:t>化学</w:t>
      </w:r>
      <w:r w:rsidRPr="00C80721">
        <w:rPr>
          <w:rFonts w:hint="eastAsia"/>
          <w:bCs/>
          <w:color w:val="000000"/>
          <w:szCs w:val="21"/>
        </w:rPr>
        <w:t>和物理</w:t>
      </w:r>
      <w:r>
        <w:rPr>
          <w:rFonts w:hint="eastAsia"/>
          <w:bCs/>
          <w:color w:val="000000"/>
          <w:szCs w:val="21"/>
        </w:rPr>
        <w:t>化学</w:t>
      </w:r>
      <w:r w:rsidRPr="00C80721">
        <w:rPr>
          <w:rFonts w:hint="eastAsia"/>
          <w:bCs/>
          <w:color w:val="000000"/>
          <w:szCs w:val="21"/>
        </w:rPr>
        <w:t>的基本原理。通过自我评估活动和多媒体内容，包括分子结构的互动动画、分层</w:t>
      </w:r>
      <w:r w:rsidR="00B4039D">
        <w:rPr>
          <w:rFonts w:hint="eastAsia"/>
          <w:bCs/>
          <w:color w:val="000000"/>
          <w:szCs w:val="21"/>
        </w:rPr>
        <w:t>图片</w:t>
      </w:r>
      <w:r w:rsidRPr="00C80721">
        <w:rPr>
          <w:rFonts w:hint="eastAsia"/>
          <w:bCs/>
          <w:color w:val="000000"/>
          <w:szCs w:val="21"/>
        </w:rPr>
        <w:t>和屏幕录像，它以学生在学校学到的知识为基础，</w:t>
      </w:r>
      <w:r w:rsidR="00320183" w:rsidRPr="00C80721">
        <w:rPr>
          <w:rFonts w:hint="eastAsia"/>
          <w:bCs/>
          <w:color w:val="000000"/>
          <w:szCs w:val="21"/>
        </w:rPr>
        <w:t>通俗易懂</w:t>
      </w:r>
      <w:r w:rsidR="00320183">
        <w:rPr>
          <w:rFonts w:hint="eastAsia"/>
          <w:bCs/>
          <w:color w:val="000000"/>
          <w:szCs w:val="21"/>
        </w:rPr>
        <w:t>地</w:t>
      </w:r>
      <w:r w:rsidR="00320183" w:rsidRPr="00C80721">
        <w:rPr>
          <w:rFonts w:hint="eastAsia"/>
          <w:bCs/>
          <w:color w:val="000000"/>
          <w:szCs w:val="21"/>
        </w:rPr>
        <w:t>介绍</w:t>
      </w:r>
      <w:r w:rsidR="00320183">
        <w:rPr>
          <w:rFonts w:hint="eastAsia"/>
          <w:bCs/>
          <w:color w:val="000000"/>
          <w:szCs w:val="21"/>
        </w:rPr>
        <w:t>了</w:t>
      </w:r>
      <w:r w:rsidRPr="00C80721">
        <w:rPr>
          <w:rFonts w:hint="eastAsia"/>
          <w:bCs/>
          <w:color w:val="000000"/>
          <w:szCs w:val="21"/>
        </w:rPr>
        <w:t>化学及其与日常生活</w:t>
      </w:r>
      <w:r w:rsidR="00320183">
        <w:rPr>
          <w:rFonts w:hint="eastAsia"/>
          <w:bCs/>
          <w:color w:val="000000"/>
          <w:szCs w:val="21"/>
        </w:rPr>
        <w:t>关联</w:t>
      </w:r>
      <w:r w:rsidR="00965979" w:rsidRPr="00965979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320183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5EB2F225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15773B5" w:rsidR="00A63852" w:rsidRDefault="00A63852" w:rsidP="00A63852">
      <w:pPr>
        <w:rPr>
          <w:b/>
          <w:bCs/>
          <w:color w:val="000000"/>
          <w:szCs w:val="21"/>
        </w:rPr>
      </w:pPr>
    </w:p>
    <w:p w14:paraId="46926B2E" w14:textId="756FA220" w:rsidR="00B4039D" w:rsidRDefault="003B7177" w:rsidP="00B4039D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38E051D" wp14:editId="14DA4F2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17880" cy="1041400"/>
            <wp:effectExtent l="0" t="0" r="1270" b="635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39D" w:rsidRPr="003B7177">
        <w:rPr>
          <w:rFonts w:hint="eastAsia"/>
          <w:b/>
          <w:bCs/>
          <w:noProof/>
        </w:rPr>
        <w:t>安德鲁·巴罗斯（</w:t>
      </w:r>
      <w:r w:rsidR="00B4039D" w:rsidRPr="003B7177">
        <w:rPr>
          <w:rFonts w:hint="eastAsia"/>
          <w:b/>
          <w:bCs/>
          <w:noProof/>
        </w:rPr>
        <w:t>Andrew Burrows</w:t>
      </w:r>
      <w:r w:rsidR="00B4039D" w:rsidRPr="003B7177">
        <w:rPr>
          <w:rFonts w:hint="eastAsia"/>
          <w:b/>
          <w:bCs/>
          <w:noProof/>
        </w:rPr>
        <w:t>）</w:t>
      </w:r>
      <w:r w:rsidR="00B4039D">
        <w:rPr>
          <w:rFonts w:hint="eastAsia"/>
          <w:noProof/>
        </w:rPr>
        <w:t>，巴斯大学的无机化学教授。他在牛津大学获得了他的第一个学位和博士学位，在搬到巴斯之前曾在斯特拉斯堡和伦敦帝国理工学院工作。在成为理学院副院长（教育）之前，他曾担任化学系主任五年。他教授过无机化学中多个领域的课程，目前的课程主要集中在固体和</w:t>
      </w:r>
      <w:r w:rsidR="00B4039D">
        <w:rPr>
          <w:rFonts w:hint="eastAsia"/>
          <w:noProof/>
        </w:rPr>
        <w:t>d</w:t>
      </w:r>
      <w:r w:rsidR="00B4039D">
        <w:rPr>
          <w:rFonts w:hint="eastAsia"/>
          <w:noProof/>
        </w:rPr>
        <w:t>区元素化学上。他的研究兴趣是多孔材料，如金属有机框架，他发表了</w:t>
      </w:r>
      <w:r w:rsidR="00B4039D">
        <w:rPr>
          <w:rFonts w:hint="eastAsia"/>
          <w:noProof/>
        </w:rPr>
        <w:t>180</w:t>
      </w:r>
      <w:r w:rsidR="00B4039D">
        <w:rPr>
          <w:rFonts w:hint="eastAsia"/>
          <w:noProof/>
        </w:rPr>
        <w:t>余篇论文。</w:t>
      </w:r>
    </w:p>
    <w:p w14:paraId="759BFCA6" w14:textId="77777777" w:rsidR="0005105A" w:rsidRDefault="0005105A" w:rsidP="00B4039D">
      <w:pPr>
        <w:ind w:firstLineChars="200" w:firstLine="420"/>
        <w:rPr>
          <w:noProof/>
        </w:rPr>
      </w:pPr>
    </w:p>
    <w:p w14:paraId="7A268F3C" w14:textId="186DBF3C" w:rsidR="00B4039D" w:rsidRDefault="004D3CFE" w:rsidP="0005105A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A000889" wp14:editId="20E4027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95350" cy="89535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39D" w:rsidRPr="00F6162F">
        <w:rPr>
          <w:rFonts w:hint="eastAsia"/>
          <w:b/>
          <w:bCs/>
          <w:noProof/>
        </w:rPr>
        <w:t>尼克·格里夫斯</w:t>
      </w:r>
      <w:r w:rsidR="0005105A" w:rsidRPr="00F6162F">
        <w:rPr>
          <w:rFonts w:hint="eastAsia"/>
          <w:b/>
          <w:bCs/>
          <w:noProof/>
        </w:rPr>
        <w:t>（</w:t>
      </w:r>
      <w:r w:rsidR="0005105A" w:rsidRPr="00F6162F">
        <w:rPr>
          <w:b/>
          <w:bCs/>
        </w:rPr>
        <w:t>Nick Greeves</w:t>
      </w:r>
      <w:r w:rsidR="0005105A" w:rsidRPr="00F6162F">
        <w:rPr>
          <w:rFonts w:hint="eastAsia"/>
          <w:b/>
          <w:bCs/>
          <w:noProof/>
        </w:rPr>
        <w:t>）</w:t>
      </w:r>
      <w:r w:rsidR="0005105A">
        <w:rPr>
          <w:rFonts w:hint="eastAsia"/>
          <w:noProof/>
        </w:rPr>
        <w:t>，</w:t>
      </w:r>
      <w:r w:rsidR="00B4039D">
        <w:rPr>
          <w:rFonts w:hint="eastAsia"/>
          <w:noProof/>
        </w:rPr>
        <w:t>利物浦大学</w:t>
      </w:r>
      <w:r w:rsidR="0005105A">
        <w:rPr>
          <w:rFonts w:hint="eastAsia"/>
          <w:noProof/>
        </w:rPr>
        <w:t>荣休</w:t>
      </w:r>
      <w:r w:rsidR="00B4039D">
        <w:rPr>
          <w:rFonts w:hint="eastAsia"/>
          <w:noProof/>
        </w:rPr>
        <w:t>教授。他毕业于剑桥大学，</w:t>
      </w:r>
      <w:r w:rsidR="0005105A">
        <w:rPr>
          <w:rFonts w:hint="eastAsia"/>
          <w:noProof/>
        </w:rPr>
        <w:t>于</w:t>
      </w:r>
      <w:r w:rsidR="0005105A">
        <w:rPr>
          <w:rFonts w:hint="eastAsia"/>
          <w:noProof/>
        </w:rPr>
        <w:t>1986</w:t>
      </w:r>
      <w:r w:rsidR="0005105A">
        <w:rPr>
          <w:rFonts w:hint="eastAsia"/>
          <w:noProof/>
        </w:rPr>
        <w:t>年获得博士学位，博士研究为</w:t>
      </w:r>
      <w:r w:rsidR="00B4039D">
        <w:rPr>
          <w:rFonts w:hint="eastAsia"/>
          <w:noProof/>
        </w:rPr>
        <w:t>因与斯图尔特·沃伦</w:t>
      </w:r>
      <w:r w:rsidR="0005105A">
        <w:rPr>
          <w:rFonts w:hint="eastAsia"/>
          <w:noProof/>
        </w:rPr>
        <w:t>（</w:t>
      </w:r>
      <w:r w:rsidR="0005105A">
        <w:t>Stuart Warren</w:t>
      </w:r>
      <w:r w:rsidR="0005105A">
        <w:rPr>
          <w:rFonts w:hint="eastAsia"/>
          <w:noProof/>
        </w:rPr>
        <w:t>）</w:t>
      </w:r>
      <w:r w:rsidR="00B4039D">
        <w:rPr>
          <w:rFonts w:hint="eastAsia"/>
          <w:noProof/>
        </w:rPr>
        <w:t>合作研究立体选择性霍纳</w:t>
      </w:r>
      <w:r w:rsidR="00B4039D">
        <w:rPr>
          <w:rFonts w:hint="eastAsia"/>
          <w:noProof/>
        </w:rPr>
        <w:t>-</w:t>
      </w:r>
      <w:r w:rsidR="00B4039D">
        <w:rPr>
          <w:rFonts w:hint="eastAsia"/>
          <w:noProof/>
        </w:rPr>
        <w:t>维蒂希反应。</w:t>
      </w:r>
      <w:r w:rsidR="0005105A">
        <w:rPr>
          <w:rFonts w:hint="eastAsia"/>
          <w:noProof/>
        </w:rPr>
        <w:t>随后</w:t>
      </w:r>
      <w:r w:rsidR="00B4039D">
        <w:rPr>
          <w:rFonts w:hint="eastAsia"/>
          <w:noProof/>
        </w:rPr>
        <w:t>，他在威斯康星大学麦迪逊分校和加利福尼亚州斯坦福大学与巴里·特罗斯特</w:t>
      </w:r>
      <w:r w:rsidR="0005105A">
        <w:rPr>
          <w:rFonts w:hint="eastAsia"/>
          <w:noProof/>
        </w:rPr>
        <w:t>（</w:t>
      </w:r>
      <w:r w:rsidR="0005105A">
        <w:t xml:space="preserve">Barry </w:t>
      </w:r>
      <w:proofErr w:type="spellStart"/>
      <w:r w:rsidR="0005105A">
        <w:t>Trost</w:t>
      </w:r>
      <w:proofErr w:type="spellEnd"/>
      <w:r w:rsidR="0005105A">
        <w:rPr>
          <w:rFonts w:hint="eastAsia"/>
          <w:noProof/>
        </w:rPr>
        <w:t>）</w:t>
      </w:r>
      <w:r w:rsidR="00B4039D">
        <w:rPr>
          <w:rFonts w:hint="eastAsia"/>
          <w:noProof/>
        </w:rPr>
        <w:t>一起获得了哈克尼斯</w:t>
      </w:r>
      <w:r w:rsidR="0005105A">
        <w:rPr>
          <w:rFonts w:hint="eastAsia"/>
          <w:noProof/>
        </w:rPr>
        <w:t>研究</w:t>
      </w:r>
      <w:r w:rsidR="00FE62E9">
        <w:rPr>
          <w:rFonts w:hint="eastAsia"/>
          <w:noProof/>
        </w:rPr>
        <w:t>基金</w:t>
      </w:r>
      <w:r w:rsidR="00B4039D">
        <w:rPr>
          <w:rFonts w:hint="eastAsia"/>
          <w:noProof/>
        </w:rPr>
        <w:t>，并在剑桥大学</w:t>
      </w:r>
      <w:r w:rsidR="00FE62E9">
        <w:rPr>
          <w:rFonts w:hint="eastAsia"/>
          <w:noProof/>
        </w:rPr>
        <w:t>参与研究。他</w:t>
      </w:r>
      <w:r w:rsidR="00B4039D">
        <w:rPr>
          <w:rFonts w:hint="eastAsia"/>
          <w:noProof/>
        </w:rPr>
        <w:t>于</w:t>
      </w:r>
      <w:r w:rsidR="00B4039D">
        <w:rPr>
          <w:rFonts w:hint="eastAsia"/>
          <w:noProof/>
        </w:rPr>
        <w:t>1989</w:t>
      </w:r>
      <w:r w:rsidR="00B4039D">
        <w:rPr>
          <w:rFonts w:hint="eastAsia"/>
          <w:noProof/>
        </w:rPr>
        <w:t>年加入利物浦</w:t>
      </w:r>
      <w:r w:rsidR="00FE62E9">
        <w:rPr>
          <w:rFonts w:hint="eastAsia"/>
          <w:noProof/>
        </w:rPr>
        <w:t>大学</w:t>
      </w:r>
      <w:r w:rsidR="00B4039D">
        <w:rPr>
          <w:rFonts w:hint="eastAsia"/>
          <w:noProof/>
        </w:rPr>
        <w:t>，并于</w:t>
      </w:r>
      <w:r w:rsidR="00B4039D">
        <w:rPr>
          <w:rFonts w:hint="eastAsia"/>
          <w:noProof/>
        </w:rPr>
        <w:t>2015</w:t>
      </w:r>
      <w:r w:rsidR="00B4039D">
        <w:rPr>
          <w:rFonts w:hint="eastAsia"/>
          <w:noProof/>
        </w:rPr>
        <w:t>年晋升为教授。尼克从</w:t>
      </w:r>
      <w:r w:rsidR="00B4039D">
        <w:rPr>
          <w:rFonts w:hint="eastAsia"/>
          <w:noProof/>
        </w:rPr>
        <w:t>2008</w:t>
      </w:r>
      <w:r w:rsidR="00B4039D">
        <w:rPr>
          <w:rFonts w:hint="eastAsia"/>
          <w:noProof/>
        </w:rPr>
        <w:t>年起担任化学教学主任，直到</w:t>
      </w:r>
      <w:r w:rsidR="00B4039D">
        <w:rPr>
          <w:rFonts w:hint="eastAsia"/>
          <w:noProof/>
        </w:rPr>
        <w:t>2021</w:t>
      </w:r>
      <w:r w:rsidR="00B4039D">
        <w:rPr>
          <w:rFonts w:hint="eastAsia"/>
          <w:noProof/>
        </w:rPr>
        <w:t>年退休。他因创建和开发</w:t>
      </w:r>
      <w:r w:rsidR="00B4039D">
        <w:rPr>
          <w:rFonts w:hint="eastAsia"/>
          <w:noProof/>
        </w:rPr>
        <w:t>ChemTube3D.com</w:t>
      </w:r>
      <w:r w:rsidR="00FE62E9">
        <w:rPr>
          <w:rFonts w:hint="eastAsia"/>
          <w:noProof/>
        </w:rPr>
        <w:t>网站</w:t>
      </w:r>
      <w:r w:rsidR="00B4039D">
        <w:rPr>
          <w:rFonts w:hint="eastAsia"/>
          <w:noProof/>
        </w:rPr>
        <w:t>而被</w:t>
      </w:r>
      <w:r w:rsidR="00FE62E9">
        <w:rPr>
          <w:rFonts w:hint="eastAsia"/>
          <w:noProof/>
        </w:rPr>
        <w:t>荣获</w:t>
      </w:r>
      <w:r w:rsidR="001F6838">
        <w:rPr>
          <w:rFonts w:hint="eastAsia"/>
          <w:noProof/>
        </w:rPr>
        <w:t>高等教育学院</w:t>
      </w:r>
      <w:r w:rsidR="00B4039D">
        <w:rPr>
          <w:rFonts w:hint="eastAsia"/>
          <w:noProof/>
        </w:rPr>
        <w:t>国家教学奖学金，并于</w:t>
      </w:r>
      <w:r w:rsidR="00B4039D">
        <w:rPr>
          <w:rFonts w:hint="eastAsia"/>
          <w:noProof/>
        </w:rPr>
        <w:t>2015</w:t>
      </w:r>
      <w:r w:rsidR="00B4039D">
        <w:rPr>
          <w:rFonts w:hint="eastAsia"/>
          <w:noProof/>
        </w:rPr>
        <w:t>年获得</w:t>
      </w:r>
      <w:r w:rsidR="00FE62E9">
        <w:rPr>
          <w:rFonts w:hint="eastAsia"/>
          <w:noProof/>
        </w:rPr>
        <w:t>皇家化学学会</w:t>
      </w:r>
      <w:r w:rsidR="00FE62E9" w:rsidRPr="00FE62E9">
        <w:rPr>
          <w:rFonts w:hint="eastAsia"/>
          <w:noProof/>
        </w:rPr>
        <w:t>尼霍姆</w:t>
      </w:r>
      <w:r w:rsidR="00B4039D">
        <w:rPr>
          <w:rFonts w:hint="eastAsia"/>
          <w:noProof/>
        </w:rPr>
        <w:t>教育奖。</w:t>
      </w:r>
    </w:p>
    <w:p w14:paraId="30190035" w14:textId="6029E5A6" w:rsidR="00FE62E9" w:rsidRDefault="00FE62E9" w:rsidP="0005105A">
      <w:pPr>
        <w:ind w:firstLineChars="200" w:firstLine="420"/>
        <w:rPr>
          <w:noProof/>
        </w:rPr>
      </w:pPr>
    </w:p>
    <w:p w14:paraId="3451F499" w14:textId="454E279B" w:rsidR="00B4039D" w:rsidRDefault="004F73F5" w:rsidP="00FE62E9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EE431ED" wp14:editId="20B088C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01700" cy="90170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2E9" w:rsidRPr="00F6162F">
        <w:rPr>
          <w:rFonts w:hint="eastAsia"/>
          <w:b/>
          <w:bCs/>
          <w:noProof/>
        </w:rPr>
        <w:t>乔恩·霍尔曼（</w:t>
      </w:r>
      <w:r w:rsidR="00B4039D" w:rsidRPr="00F6162F">
        <w:rPr>
          <w:rFonts w:hint="eastAsia"/>
          <w:b/>
          <w:bCs/>
          <w:noProof/>
        </w:rPr>
        <w:t>John Holman</w:t>
      </w:r>
      <w:r w:rsidR="00FE62E9" w:rsidRPr="00F6162F">
        <w:rPr>
          <w:rFonts w:hint="eastAsia"/>
          <w:b/>
          <w:bCs/>
          <w:noProof/>
        </w:rPr>
        <w:t>）</w:t>
      </w:r>
      <w:r w:rsidR="00FE62E9">
        <w:rPr>
          <w:rFonts w:hint="eastAsia"/>
          <w:noProof/>
        </w:rPr>
        <w:t>，</w:t>
      </w:r>
      <w:r w:rsidR="00B4039D">
        <w:rPr>
          <w:rFonts w:hint="eastAsia"/>
          <w:noProof/>
        </w:rPr>
        <w:t>约克大学化学系</w:t>
      </w:r>
      <w:r w:rsidR="00F6162F">
        <w:rPr>
          <w:rFonts w:hint="eastAsia"/>
          <w:noProof/>
        </w:rPr>
        <w:t>荣休</w:t>
      </w:r>
      <w:r w:rsidR="00B4039D">
        <w:rPr>
          <w:rFonts w:hint="eastAsia"/>
          <w:noProof/>
        </w:rPr>
        <w:t>教授，英国皇家化学学会前主席（</w:t>
      </w:r>
      <w:r w:rsidR="00B4039D">
        <w:rPr>
          <w:rFonts w:hint="eastAsia"/>
          <w:noProof/>
        </w:rPr>
        <w:t>2016</w:t>
      </w:r>
      <w:r w:rsidR="00F6162F">
        <w:rPr>
          <w:noProof/>
        </w:rPr>
        <w:t>~</w:t>
      </w:r>
      <w:r w:rsidR="00B4039D">
        <w:rPr>
          <w:rFonts w:hint="eastAsia"/>
          <w:noProof/>
        </w:rPr>
        <w:t>2018</w:t>
      </w:r>
      <w:r w:rsidR="00B4039D">
        <w:rPr>
          <w:rFonts w:hint="eastAsia"/>
          <w:noProof/>
        </w:rPr>
        <w:t>），盖茨比基金会教育高级顾问。</w:t>
      </w:r>
      <w:r w:rsidR="00B4039D">
        <w:rPr>
          <w:rFonts w:hint="eastAsia"/>
          <w:noProof/>
        </w:rPr>
        <w:t>2004</w:t>
      </w:r>
      <w:r w:rsidR="00B4039D">
        <w:rPr>
          <w:rFonts w:hint="eastAsia"/>
          <w:noProof/>
        </w:rPr>
        <w:t>年至</w:t>
      </w:r>
      <w:r w:rsidR="00B4039D">
        <w:rPr>
          <w:rFonts w:hint="eastAsia"/>
          <w:noProof/>
        </w:rPr>
        <w:t>2010</w:t>
      </w:r>
      <w:r w:rsidR="00B4039D">
        <w:rPr>
          <w:rFonts w:hint="eastAsia"/>
          <w:noProof/>
        </w:rPr>
        <w:t>年</w:t>
      </w:r>
      <w:r w:rsidR="00B4039D">
        <w:rPr>
          <w:rFonts w:hint="eastAsia"/>
          <w:noProof/>
        </w:rPr>
        <w:t>9</w:t>
      </w:r>
      <w:r w:rsidR="00B4039D">
        <w:rPr>
          <w:rFonts w:hint="eastAsia"/>
          <w:noProof/>
        </w:rPr>
        <w:t>月，他担任</w:t>
      </w:r>
      <w:r w:rsidR="00F6162F">
        <w:rPr>
          <w:rFonts w:hint="eastAsia"/>
          <w:noProof/>
        </w:rPr>
        <w:t>英国</w:t>
      </w:r>
      <w:r w:rsidR="00B4039D">
        <w:rPr>
          <w:rFonts w:hint="eastAsia"/>
          <w:noProof/>
        </w:rPr>
        <w:t>国家科学学习中心的创始主任，</w:t>
      </w:r>
      <w:r w:rsidR="00B4039D">
        <w:rPr>
          <w:rFonts w:hint="eastAsia"/>
          <w:noProof/>
        </w:rPr>
        <w:t>2006</w:t>
      </w:r>
      <w:r w:rsidR="00B4039D">
        <w:rPr>
          <w:rFonts w:hint="eastAsia"/>
          <w:noProof/>
        </w:rPr>
        <w:t>年至</w:t>
      </w:r>
      <w:r w:rsidR="00B4039D">
        <w:rPr>
          <w:rFonts w:hint="eastAsia"/>
          <w:noProof/>
        </w:rPr>
        <w:t>2010</w:t>
      </w:r>
      <w:r w:rsidR="00B4039D">
        <w:rPr>
          <w:rFonts w:hint="eastAsia"/>
          <w:noProof/>
        </w:rPr>
        <w:t>年间，他担任英国政府的顾问，担任国家科学、技术、工程和数学（</w:t>
      </w:r>
      <w:r w:rsidR="00B4039D">
        <w:rPr>
          <w:rFonts w:hint="eastAsia"/>
          <w:noProof/>
        </w:rPr>
        <w:t>STEM</w:t>
      </w:r>
      <w:r w:rsidR="00B4039D">
        <w:rPr>
          <w:rFonts w:hint="eastAsia"/>
          <w:noProof/>
        </w:rPr>
        <w:t>）主任。他曾在</w:t>
      </w:r>
      <w:r w:rsidR="00F6162F">
        <w:rPr>
          <w:rFonts w:hint="eastAsia"/>
          <w:noProof/>
        </w:rPr>
        <w:t>担任化学教师</w:t>
      </w:r>
      <w:r w:rsidR="00B4039D">
        <w:rPr>
          <w:rFonts w:hint="eastAsia"/>
          <w:noProof/>
        </w:rPr>
        <w:t>，为包括本科生在内的科学学习者</w:t>
      </w:r>
      <w:r w:rsidR="00F6162F">
        <w:rPr>
          <w:rFonts w:hint="eastAsia"/>
          <w:noProof/>
        </w:rPr>
        <w:t>设计课程并撰写教材</w:t>
      </w:r>
      <w:r w:rsidR="00B4039D">
        <w:rPr>
          <w:rFonts w:hint="eastAsia"/>
          <w:noProof/>
        </w:rPr>
        <w:t>，是</w:t>
      </w:r>
      <w:r w:rsidR="00B4039D">
        <w:rPr>
          <w:rFonts w:hint="eastAsia"/>
          <w:noProof/>
        </w:rPr>
        <w:t>Salters</w:t>
      </w:r>
      <w:r w:rsidR="00B4039D">
        <w:rPr>
          <w:rFonts w:hint="eastAsia"/>
          <w:noProof/>
        </w:rPr>
        <w:t>高级化学课程的创始主任。</w:t>
      </w:r>
      <w:r w:rsidR="00B4039D">
        <w:rPr>
          <w:rFonts w:hint="eastAsia"/>
          <w:noProof/>
        </w:rPr>
        <w:t>2014</w:t>
      </w:r>
      <w:r w:rsidR="00B4039D">
        <w:rPr>
          <w:rFonts w:hint="eastAsia"/>
          <w:noProof/>
        </w:rPr>
        <w:t>年，他被科学委员会评为英国</w:t>
      </w:r>
      <w:r w:rsidR="00B4039D">
        <w:rPr>
          <w:rFonts w:hint="eastAsia"/>
          <w:noProof/>
        </w:rPr>
        <w:t>100</w:t>
      </w:r>
      <w:r w:rsidR="00B4039D">
        <w:rPr>
          <w:rFonts w:hint="eastAsia"/>
          <w:noProof/>
        </w:rPr>
        <w:t>位杰出的实践和鼓舞人心的科学家之一，并在同一年获得了皇家化学学会的刘易斯勋爵奖和皇家学会的卡夫</w:t>
      </w:r>
      <w:r w:rsidR="00B4039D">
        <w:rPr>
          <w:rFonts w:hint="eastAsia"/>
          <w:noProof/>
        </w:rPr>
        <w:lastRenderedPageBreak/>
        <w:t>利教育奖。</w:t>
      </w:r>
      <w:r w:rsidR="00B4039D">
        <w:rPr>
          <w:rFonts w:hint="eastAsia"/>
          <w:noProof/>
        </w:rPr>
        <w:t>2010</w:t>
      </w:r>
      <w:r w:rsidR="00B4039D">
        <w:rPr>
          <w:rFonts w:hint="eastAsia"/>
          <w:noProof/>
        </w:rPr>
        <w:t>年，他因对教育的贡献被女王封为爵士。</w:t>
      </w:r>
    </w:p>
    <w:p w14:paraId="261C812B" w14:textId="77777777" w:rsidR="00F6162F" w:rsidRDefault="00F6162F" w:rsidP="00FE62E9">
      <w:pPr>
        <w:ind w:firstLineChars="200" w:firstLine="420"/>
        <w:rPr>
          <w:noProof/>
        </w:rPr>
      </w:pPr>
    </w:p>
    <w:p w14:paraId="4721588A" w14:textId="311215BC" w:rsidR="00B4039D" w:rsidRDefault="007C2F39" w:rsidP="00F6162F">
      <w:pPr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3B95FDC" wp14:editId="676A7EB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20750" cy="1012825"/>
            <wp:effectExtent l="0" t="0" r="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12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62F" w:rsidRPr="001F6838">
        <w:rPr>
          <w:rFonts w:hint="eastAsia"/>
          <w:b/>
          <w:bCs/>
          <w:noProof/>
        </w:rPr>
        <w:t>西蒙·兰开斯特（</w:t>
      </w:r>
      <w:r w:rsidR="00B4039D" w:rsidRPr="001F6838">
        <w:rPr>
          <w:rFonts w:hint="eastAsia"/>
          <w:b/>
          <w:bCs/>
          <w:noProof/>
        </w:rPr>
        <w:t>Simon Lancaster</w:t>
      </w:r>
      <w:r w:rsidR="00F6162F" w:rsidRPr="001F6838">
        <w:rPr>
          <w:rFonts w:hint="eastAsia"/>
          <w:b/>
          <w:bCs/>
          <w:noProof/>
        </w:rPr>
        <w:t>）</w:t>
      </w:r>
      <w:r w:rsidR="00B4039D">
        <w:rPr>
          <w:rFonts w:hint="eastAsia"/>
          <w:noProof/>
        </w:rPr>
        <w:t>自</w:t>
      </w:r>
      <w:r w:rsidR="00B4039D">
        <w:rPr>
          <w:rFonts w:hint="eastAsia"/>
          <w:noProof/>
        </w:rPr>
        <w:t>2000</w:t>
      </w:r>
      <w:r w:rsidR="00B4039D">
        <w:rPr>
          <w:rFonts w:hint="eastAsia"/>
          <w:noProof/>
        </w:rPr>
        <w:t>年以来一直在东安格利亚大学教授化学。</w:t>
      </w:r>
      <w:r w:rsidR="00B4039D">
        <w:rPr>
          <w:rFonts w:hint="eastAsia"/>
          <w:noProof/>
        </w:rPr>
        <w:t>2013</w:t>
      </w:r>
      <w:r w:rsidR="00B4039D">
        <w:rPr>
          <w:rFonts w:hint="eastAsia"/>
          <w:noProof/>
        </w:rPr>
        <w:t>年，他因“</w:t>
      </w:r>
      <w:r w:rsidR="00F6162F">
        <w:rPr>
          <w:rFonts w:hint="eastAsia"/>
          <w:noProof/>
        </w:rPr>
        <w:t>融合了</w:t>
      </w:r>
      <w:r w:rsidR="00B4039D">
        <w:rPr>
          <w:rFonts w:hint="eastAsia"/>
          <w:noProof/>
        </w:rPr>
        <w:t>互联网和</w:t>
      </w:r>
      <w:r w:rsidR="00F6162F">
        <w:rPr>
          <w:rFonts w:hint="eastAsia"/>
          <w:noProof/>
        </w:rPr>
        <w:t>课堂</w:t>
      </w:r>
      <w:r w:rsidR="00B4039D">
        <w:rPr>
          <w:rFonts w:hint="eastAsia"/>
          <w:noProof/>
        </w:rPr>
        <w:t>”而获得了国家教学奖学金和</w:t>
      </w:r>
      <w:r w:rsidR="00F6162F">
        <w:rPr>
          <w:rFonts w:hint="eastAsia"/>
          <w:noProof/>
        </w:rPr>
        <w:t>皇家化学学会</w:t>
      </w:r>
      <w:r w:rsidR="00B4039D">
        <w:rPr>
          <w:rFonts w:hint="eastAsia"/>
          <w:noProof/>
        </w:rPr>
        <w:t>高等教育教学奖。西蒙于</w:t>
      </w:r>
      <w:r w:rsidR="00B4039D">
        <w:rPr>
          <w:rFonts w:hint="eastAsia"/>
          <w:noProof/>
        </w:rPr>
        <w:t>2014</w:t>
      </w:r>
      <w:r w:rsidR="00B4039D">
        <w:rPr>
          <w:rFonts w:hint="eastAsia"/>
          <w:noProof/>
        </w:rPr>
        <w:t>年被提升为化学教育系主任。</w:t>
      </w:r>
      <w:r w:rsidR="00B4039D">
        <w:rPr>
          <w:rFonts w:hint="eastAsia"/>
          <w:noProof/>
        </w:rPr>
        <w:t>2016</w:t>
      </w:r>
      <w:r w:rsidR="00B4039D">
        <w:rPr>
          <w:rFonts w:hint="eastAsia"/>
          <w:noProof/>
        </w:rPr>
        <w:t>年，他被选为</w:t>
      </w:r>
      <w:r w:rsidR="001F6838">
        <w:rPr>
          <w:rFonts w:hint="eastAsia"/>
          <w:noProof/>
        </w:rPr>
        <w:t>皇家化学学会</w:t>
      </w:r>
      <w:r w:rsidR="00B4039D">
        <w:rPr>
          <w:rFonts w:hint="eastAsia"/>
          <w:noProof/>
        </w:rPr>
        <w:t xml:space="preserve"> 175</w:t>
      </w:r>
      <w:r w:rsidR="00B4039D">
        <w:rPr>
          <w:rFonts w:hint="eastAsia"/>
          <w:noProof/>
        </w:rPr>
        <w:t>位多样性代表之一，并于</w:t>
      </w:r>
      <w:r w:rsidR="00B4039D">
        <w:rPr>
          <w:rFonts w:hint="eastAsia"/>
          <w:noProof/>
        </w:rPr>
        <w:t>2017</w:t>
      </w:r>
      <w:r w:rsidR="00B4039D">
        <w:rPr>
          <w:rFonts w:hint="eastAsia"/>
          <w:noProof/>
        </w:rPr>
        <w:t>年至</w:t>
      </w:r>
      <w:r w:rsidR="00B4039D">
        <w:rPr>
          <w:rFonts w:hint="eastAsia"/>
          <w:noProof/>
        </w:rPr>
        <w:t>2020</w:t>
      </w:r>
      <w:r w:rsidR="00B4039D">
        <w:rPr>
          <w:rFonts w:hint="eastAsia"/>
          <w:noProof/>
        </w:rPr>
        <w:t>年担任教育部理事会主席，倡导包容和多样性。</w:t>
      </w:r>
      <w:r w:rsidR="00B4039D">
        <w:rPr>
          <w:rFonts w:hint="eastAsia"/>
          <w:noProof/>
        </w:rPr>
        <w:t>2024</w:t>
      </w:r>
      <w:r w:rsidR="00B4039D">
        <w:rPr>
          <w:rFonts w:hint="eastAsia"/>
          <w:noProof/>
        </w:rPr>
        <w:t>年，他获得了东英吉利大学学生会颁发的</w:t>
      </w:r>
      <w:r w:rsidR="00B4039D">
        <w:rPr>
          <w:rFonts w:hint="eastAsia"/>
          <w:noProof/>
        </w:rPr>
        <w:t>EDI</w:t>
      </w:r>
      <w:r w:rsidR="00B4039D">
        <w:rPr>
          <w:rFonts w:hint="eastAsia"/>
          <w:noProof/>
        </w:rPr>
        <w:t>冠军奖。他</w:t>
      </w:r>
      <w:r w:rsidR="001F6838">
        <w:rPr>
          <w:rFonts w:hint="eastAsia"/>
          <w:noProof/>
        </w:rPr>
        <w:t>热情倡导</w:t>
      </w:r>
      <w:r w:rsidR="00B4039D">
        <w:rPr>
          <w:rFonts w:hint="eastAsia"/>
          <w:noProof/>
        </w:rPr>
        <w:t>循证教学创新，在化学领域之外，他作为演讲者和顾问</w:t>
      </w:r>
      <w:r w:rsidR="001F6838">
        <w:rPr>
          <w:rFonts w:hint="eastAsia"/>
          <w:noProof/>
        </w:rPr>
        <w:t>也很受欢迎</w:t>
      </w:r>
      <w:r w:rsidR="00B4039D">
        <w:rPr>
          <w:rFonts w:hint="eastAsia"/>
          <w:noProof/>
        </w:rPr>
        <w:t>。自</w:t>
      </w:r>
      <w:r w:rsidR="00B4039D">
        <w:rPr>
          <w:rFonts w:hint="eastAsia"/>
          <w:noProof/>
        </w:rPr>
        <w:t>2022</w:t>
      </w:r>
      <w:r w:rsidR="00B4039D">
        <w:rPr>
          <w:rFonts w:hint="eastAsia"/>
          <w:noProof/>
        </w:rPr>
        <w:t>年以来，他作为学习和教学副院长，塑造了东英吉利大学的科学教学。</w:t>
      </w:r>
      <w:r w:rsidR="00B4039D">
        <w:rPr>
          <w:rFonts w:hint="eastAsia"/>
          <w:noProof/>
        </w:rPr>
        <w:t>2025</w:t>
      </w:r>
      <w:r w:rsidR="00B4039D">
        <w:rPr>
          <w:rFonts w:hint="eastAsia"/>
          <w:noProof/>
        </w:rPr>
        <w:t>年，他被任命为讲座录制的机构负责人。西蒙目前</w:t>
      </w:r>
      <w:r w:rsidR="001F6838">
        <w:rPr>
          <w:rFonts w:hint="eastAsia"/>
          <w:noProof/>
        </w:rPr>
        <w:t>也</w:t>
      </w:r>
      <w:r w:rsidR="00B4039D">
        <w:rPr>
          <w:rFonts w:hint="eastAsia"/>
          <w:noProof/>
        </w:rPr>
        <w:t>是一名学生，正在攻读工商管理硕士学位。</w:t>
      </w:r>
    </w:p>
    <w:p w14:paraId="510A15F4" w14:textId="0B109B25" w:rsidR="001F6838" w:rsidRDefault="001F6838" w:rsidP="00F6162F">
      <w:pPr>
        <w:ind w:firstLineChars="200" w:firstLine="420"/>
        <w:rPr>
          <w:noProof/>
        </w:rPr>
      </w:pPr>
    </w:p>
    <w:p w14:paraId="654E807F" w14:textId="3175699F" w:rsidR="00B4039D" w:rsidRDefault="005F163E" w:rsidP="001F6838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B96206" wp14:editId="5EA9120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57300" cy="837565"/>
            <wp:effectExtent l="0" t="0" r="0" b="635"/>
            <wp:wrapSquare wrapText="bothSides"/>
            <wp:docPr id="14" name="图片 14" descr="Andy Parsons profile - Undergraduate, University of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ndy Parsons profile - Undergraduate, University of Yo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838" w:rsidRPr="001F6838">
        <w:rPr>
          <w:rFonts w:hint="eastAsia"/>
          <w:b/>
          <w:bCs/>
          <w:noProof/>
        </w:rPr>
        <w:t>安德鲁·</w:t>
      </w:r>
      <w:bookmarkStart w:id="0" w:name="_Hlk234587830"/>
      <w:r w:rsidR="001F6838" w:rsidRPr="001F6838">
        <w:rPr>
          <w:rFonts w:hint="eastAsia"/>
          <w:b/>
          <w:bCs/>
          <w:noProof/>
        </w:rPr>
        <w:t>帕森斯</w:t>
      </w:r>
      <w:bookmarkEnd w:id="0"/>
      <w:r w:rsidR="001F6838" w:rsidRPr="001F6838">
        <w:rPr>
          <w:rFonts w:hint="eastAsia"/>
          <w:b/>
          <w:bCs/>
          <w:noProof/>
        </w:rPr>
        <w:t>（</w:t>
      </w:r>
      <w:r w:rsidR="00B4039D" w:rsidRPr="001F6838">
        <w:rPr>
          <w:rFonts w:hint="eastAsia"/>
          <w:b/>
          <w:bCs/>
          <w:noProof/>
        </w:rPr>
        <w:t>Andrew Parsons</w:t>
      </w:r>
      <w:r w:rsidR="001F6838" w:rsidRPr="001F6838">
        <w:rPr>
          <w:rFonts w:hint="eastAsia"/>
          <w:b/>
          <w:bCs/>
          <w:noProof/>
        </w:rPr>
        <w:t>）</w:t>
      </w:r>
      <w:r w:rsidR="001F6838">
        <w:rPr>
          <w:rFonts w:hint="eastAsia"/>
          <w:noProof/>
        </w:rPr>
        <w:t>，</w:t>
      </w:r>
      <w:r w:rsidR="00B4039D">
        <w:rPr>
          <w:rFonts w:hint="eastAsia"/>
          <w:noProof/>
        </w:rPr>
        <w:t>约克大学有机化学教授</w:t>
      </w:r>
      <w:r w:rsidR="001F6838">
        <w:rPr>
          <w:rFonts w:hint="eastAsia"/>
          <w:noProof/>
        </w:rPr>
        <w:t>。他</w:t>
      </w:r>
      <w:r w:rsidR="00B4039D">
        <w:rPr>
          <w:rFonts w:hint="eastAsia"/>
          <w:noProof/>
        </w:rPr>
        <w:t>在牛津大学完成了博士学位。他获得了英国皇家化学学会高等教育教学奖，是高等教育学院的高级研究员。</w:t>
      </w:r>
      <w:r w:rsidR="00B4039D">
        <w:rPr>
          <w:rFonts w:hint="eastAsia"/>
          <w:noProof/>
        </w:rPr>
        <w:t>2018</w:t>
      </w:r>
      <w:r w:rsidR="00B4039D">
        <w:rPr>
          <w:rFonts w:hint="eastAsia"/>
          <w:noProof/>
        </w:rPr>
        <w:t>年，他还因其教学方法获得了</w:t>
      </w:r>
      <w:r w:rsidR="001F6838">
        <w:rPr>
          <w:rFonts w:hint="eastAsia"/>
          <w:noProof/>
        </w:rPr>
        <w:t>高等教育学院</w:t>
      </w:r>
      <w:r w:rsidR="00B4039D">
        <w:rPr>
          <w:rFonts w:hint="eastAsia"/>
          <w:noProof/>
        </w:rPr>
        <w:t>的国家教学</w:t>
      </w:r>
      <w:r w:rsidR="001F6838">
        <w:rPr>
          <w:rFonts w:hint="eastAsia"/>
          <w:noProof/>
        </w:rPr>
        <w:t>基金赞助</w:t>
      </w:r>
      <w:r w:rsidR="00B4039D">
        <w:rPr>
          <w:rFonts w:hint="eastAsia"/>
          <w:noProof/>
        </w:rPr>
        <w:t>。</w:t>
      </w:r>
      <w:r w:rsidR="00B4039D">
        <w:rPr>
          <w:rFonts w:hint="eastAsia"/>
          <w:noProof/>
        </w:rPr>
        <w:t>2017</w:t>
      </w:r>
      <w:r w:rsidR="00B4039D">
        <w:rPr>
          <w:rFonts w:hint="eastAsia"/>
          <w:noProof/>
        </w:rPr>
        <w:t>年，</w:t>
      </w:r>
      <w:r w:rsidR="001F6838" w:rsidRPr="001F6838">
        <w:rPr>
          <w:rFonts w:hint="eastAsia"/>
          <w:noProof/>
        </w:rPr>
        <w:t>帕森斯</w:t>
      </w:r>
      <w:r w:rsidR="00B4039D">
        <w:rPr>
          <w:rFonts w:hint="eastAsia"/>
          <w:noProof/>
        </w:rPr>
        <w:t>教授推出了约克大学的第一个</w:t>
      </w:r>
      <w:r w:rsidR="00B4039D">
        <w:rPr>
          <w:rFonts w:hint="eastAsia"/>
          <w:noProof/>
        </w:rPr>
        <w:t>MOOC</w:t>
      </w:r>
      <w:r w:rsidR="00B4039D">
        <w:rPr>
          <w:rFonts w:hint="eastAsia"/>
          <w:noProof/>
        </w:rPr>
        <w:t>“探索日常化学”，该课程已覆盖</w:t>
      </w:r>
      <w:r w:rsidR="00B4039D">
        <w:rPr>
          <w:rFonts w:hint="eastAsia"/>
          <w:noProof/>
        </w:rPr>
        <w:t>140</w:t>
      </w:r>
      <w:r w:rsidR="00B4039D">
        <w:rPr>
          <w:rFonts w:hint="eastAsia"/>
          <w:noProof/>
        </w:rPr>
        <w:t>多个国家的</w:t>
      </w:r>
      <w:r w:rsidR="00B4039D">
        <w:rPr>
          <w:rFonts w:hint="eastAsia"/>
          <w:noProof/>
        </w:rPr>
        <w:t>30000</w:t>
      </w:r>
      <w:r w:rsidR="00B4039D">
        <w:rPr>
          <w:rFonts w:hint="eastAsia"/>
          <w:noProof/>
        </w:rPr>
        <w:t>多名学习者</w:t>
      </w:r>
      <w:r w:rsidR="001F6838">
        <w:rPr>
          <w:rFonts w:hint="eastAsia"/>
          <w:noProof/>
        </w:rPr>
        <w:t>，并</w:t>
      </w:r>
      <w:r w:rsidR="00B4039D">
        <w:rPr>
          <w:rFonts w:hint="eastAsia"/>
          <w:noProof/>
        </w:rPr>
        <w:t>课程于</w:t>
      </w:r>
      <w:r w:rsidR="00B4039D">
        <w:rPr>
          <w:rFonts w:hint="eastAsia"/>
          <w:noProof/>
        </w:rPr>
        <w:t>2021</w:t>
      </w:r>
      <w:r w:rsidR="00B4039D">
        <w:rPr>
          <w:rFonts w:hint="eastAsia"/>
          <w:noProof/>
        </w:rPr>
        <w:t>年获得英国皇家化学学会颁发的地平线化学奖。</w:t>
      </w:r>
      <w:r w:rsidR="00B4039D">
        <w:rPr>
          <w:rFonts w:hint="eastAsia"/>
          <w:noProof/>
        </w:rPr>
        <w:t>2025</w:t>
      </w:r>
      <w:r w:rsidR="00B4039D">
        <w:rPr>
          <w:rFonts w:hint="eastAsia"/>
          <w:noProof/>
        </w:rPr>
        <w:t>年，他成为面向</w:t>
      </w:r>
      <w:r w:rsidR="00B4039D">
        <w:rPr>
          <w:rFonts w:hint="eastAsia"/>
          <w:noProof/>
        </w:rPr>
        <w:t>16</w:t>
      </w:r>
      <w:r w:rsidR="00B4039D">
        <w:rPr>
          <w:rFonts w:hint="eastAsia"/>
          <w:noProof/>
        </w:rPr>
        <w:t>岁</w:t>
      </w:r>
      <w:r w:rsidR="001F6838">
        <w:rPr>
          <w:rFonts w:hint="eastAsia"/>
          <w:noProof/>
        </w:rPr>
        <w:t>以上</w:t>
      </w:r>
      <w:r w:rsidR="00B4039D">
        <w:rPr>
          <w:rFonts w:hint="eastAsia"/>
          <w:noProof/>
        </w:rPr>
        <w:t>化学</w:t>
      </w:r>
      <w:r w:rsidR="001F6838">
        <w:rPr>
          <w:rFonts w:hint="eastAsia"/>
          <w:noProof/>
        </w:rPr>
        <w:t>爱好者</w:t>
      </w:r>
      <w:r w:rsidR="00B4039D">
        <w:rPr>
          <w:rFonts w:hint="eastAsia"/>
          <w:noProof/>
        </w:rPr>
        <w:t>的杂志《化学评论》</w:t>
      </w:r>
      <w:r w:rsidR="001F6838">
        <w:rPr>
          <w:rFonts w:hint="eastAsia"/>
          <w:noProof/>
        </w:rPr>
        <w:t>（</w:t>
      </w:r>
      <w:r w:rsidR="001F6838" w:rsidRPr="001F6838">
        <w:rPr>
          <w:i/>
          <w:iCs/>
        </w:rPr>
        <w:t>Chemistry Review</w:t>
      </w:r>
      <w:r w:rsidR="001F6838">
        <w:rPr>
          <w:rFonts w:hint="eastAsia"/>
          <w:noProof/>
        </w:rPr>
        <w:t>）</w:t>
      </w:r>
      <w:r w:rsidR="00B4039D">
        <w:rPr>
          <w:rFonts w:hint="eastAsia"/>
          <w:noProof/>
        </w:rPr>
        <w:t>的编辑。</w:t>
      </w:r>
    </w:p>
    <w:p w14:paraId="4CD263E2" w14:textId="338DB2A6" w:rsidR="001F6838" w:rsidRDefault="001F6838" w:rsidP="001F6838">
      <w:pPr>
        <w:ind w:firstLineChars="200" w:firstLine="420"/>
        <w:rPr>
          <w:noProof/>
        </w:rPr>
      </w:pPr>
    </w:p>
    <w:p w14:paraId="093D8639" w14:textId="5E0B554E" w:rsidR="004E10F9" w:rsidRDefault="00DD7853" w:rsidP="001F6838">
      <w:pPr>
        <w:ind w:firstLineChars="200" w:firstLine="422"/>
        <w:rPr>
          <w:noProof/>
        </w:rPr>
      </w:pPr>
      <w:bookmarkStart w:id="1" w:name="_Hlk234587951"/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785B490" wp14:editId="456BA40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87400" cy="78740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838" w:rsidRPr="001F6838">
        <w:rPr>
          <w:rFonts w:hint="eastAsia"/>
          <w:b/>
          <w:bCs/>
          <w:noProof/>
        </w:rPr>
        <w:t>蒂娜</w:t>
      </w:r>
      <w:bookmarkEnd w:id="1"/>
      <w:r w:rsidR="001F6838" w:rsidRPr="001F6838">
        <w:rPr>
          <w:rFonts w:hint="eastAsia"/>
          <w:b/>
          <w:bCs/>
          <w:noProof/>
        </w:rPr>
        <w:t>·奥弗顿（</w:t>
      </w:r>
      <w:r w:rsidR="00B4039D" w:rsidRPr="001F6838">
        <w:rPr>
          <w:rFonts w:hint="eastAsia"/>
          <w:b/>
          <w:bCs/>
          <w:noProof/>
        </w:rPr>
        <w:t>Tina Overton</w:t>
      </w:r>
      <w:r w:rsidR="001F6838" w:rsidRPr="001F6838">
        <w:rPr>
          <w:rFonts w:hint="eastAsia"/>
          <w:b/>
          <w:bCs/>
          <w:noProof/>
        </w:rPr>
        <w:t>）</w:t>
      </w:r>
      <w:r w:rsidR="00B4039D">
        <w:rPr>
          <w:rFonts w:hint="eastAsia"/>
          <w:noProof/>
        </w:rPr>
        <w:t>曾任赫尔大学和莫纳什大学化学教育教授，并担任利兹大学卓越教学研究所所长。她在化学教育和科学教育研究领域发表了大量文章，并著有</w:t>
      </w:r>
      <w:r w:rsidR="001B460F">
        <w:rPr>
          <w:rFonts w:hint="eastAsia"/>
          <w:noProof/>
        </w:rPr>
        <w:t>数</w:t>
      </w:r>
      <w:r w:rsidR="00B4039D">
        <w:rPr>
          <w:rFonts w:hint="eastAsia"/>
          <w:noProof/>
        </w:rPr>
        <w:t>本教科书。</w:t>
      </w:r>
      <w:r w:rsidR="001B460F" w:rsidRPr="001B460F">
        <w:rPr>
          <w:rFonts w:hint="eastAsia"/>
          <w:noProof/>
        </w:rPr>
        <w:t>蒂娜</w:t>
      </w:r>
      <w:r w:rsidR="00B4039D">
        <w:rPr>
          <w:rFonts w:hint="eastAsia"/>
          <w:noProof/>
        </w:rPr>
        <w:t>曾获得英国皇家化学学会高等教育教学奖、高等教育奖和</w:t>
      </w:r>
      <w:r w:rsidR="001B460F">
        <w:rPr>
          <w:rFonts w:hint="eastAsia"/>
          <w:noProof/>
        </w:rPr>
        <w:t>尼霍姆</w:t>
      </w:r>
      <w:r w:rsidR="00B4039D">
        <w:rPr>
          <w:rFonts w:hint="eastAsia"/>
          <w:noProof/>
        </w:rPr>
        <w:t>奖，以及澳大利亚皇家化学研究所的</w:t>
      </w:r>
      <w:r w:rsidR="001B460F" w:rsidRPr="001B460F">
        <w:rPr>
          <w:rFonts w:hint="eastAsia"/>
          <w:noProof/>
        </w:rPr>
        <w:t>芬舍姆</w:t>
      </w:r>
      <w:r w:rsidR="00B4039D">
        <w:rPr>
          <w:rFonts w:hint="eastAsia"/>
          <w:noProof/>
        </w:rPr>
        <w:t>奖章。她是国家教学研究员和高等教育学院高级研究员。</w:t>
      </w:r>
    </w:p>
    <w:p w14:paraId="18FA5DCD" w14:textId="46F35AB1" w:rsidR="00DA650C" w:rsidRDefault="00DA650C" w:rsidP="001F6838">
      <w:pPr>
        <w:ind w:firstLineChars="200" w:firstLine="420"/>
        <w:rPr>
          <w:noProof/>
        </w:rPr>
      </w:pPr>
    </w:p>
    <w:p w14:paraId="41F2A180" w14:textId="00EB0DB9" w:rsidR="00DA650C" w:rsidRDefault="00A1739E" w:rsidP="001F6838">
      <w:pPr>
        <w:ind w:firstLineChars="200" w:firstLine="420"/>
        <w:rPr>
          <w:color w:val="000000"/>
          <w:szCs w:val="21"/>
        </w:rPr>
      </w:pPr>
      <w:bookmarkStart w:id="2" w:name="_Hlk234588078"/>
      <w:r>
        <w:rPr>
          <w:noProof/>
        </w:rPr>
        <w:drawing>
          <wp:anchor distT="0" distB="0" distL="114300" distR="114300" simplePos="0" relativeHeight="251667456" behindDoc="0" locked="0" layoutInCell="1" allowOverlap="1" wp14:anchorId="25C8AA45" wp14:editId="5039E778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971550" cy="971550"/>
            <wp:effectExtent l="0" t="0" r="0" b="0"/>
            <wp:wrapSquare wrapText="bothSides"/>
            <wp:docPr id="17" name="图片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0C" w:rsidRPr="005B6BC6">
        <w:rPr>
          <w:rFonts w:hint="eastAsia"/>
          <w:b/>
          <w:bCs/>
          <w:color w:val="000000"/>
          <w:szCs w:val="21"/>
        </w:rPr>
        <w:t>加雷斯</w:t>
      </w:r>
      <w:bookmarkEnd w:id="2"/>
      <w:r w:rsidR="00DA650C" w:rsidRPr="005B6BC6">
        <w:rPr>
          <w:rFonts w:hint="eastAsia"/>
          <w:b/>
          <w:bCs/>
          <w:color w:val="000000"/>
          <w:szCs w:val="21"/>
        </w:rPr>
        <w:t>·普瑞斯（</w:t>
      </w:r>
      <w:r w:rsidR="00DA650C" w:rsidRPr="005B6BC6">
        <w:rPr>
          <w:rFonts w:hint="eastAsia"/>
          <w:b/>
          <w:bCs/>
          <w:color w:val="000000"/>
          <w:szCs w:val="21"/>
        </w:rPr>
        <w:t>Gareth Price</w:t>
      </w:r>
      <w:r w:rsidR="00DA650C" w:rsidRPr="005B6BC6">
        <w:rPr>
          <w:rFonts w:hint="eastAsia"/>
          <w:b/>
          <w:bCs/>
          <w:color w:val="000000"/>
          <w:szCs w:val="21"/>
        </w:rPr>
        <w:t>）</w:t>
      </w:r>
      <w:r w:rsidR="00DA650C">
        <w:rPr>
          <w:rFonts w:hint="eastAsia"/>
          <w:color w:val="000000"/>
          <w:szCs w:val="21"/>
        </w:rPr>
        <w:t>，</w:t>
      </w:r>
      <w:r w:rsidR="00DA650C" w:rsidRPr="00DA650C">
        <w:rPr>
          <w:rFonts w:hint="eastAsia"/>
          <w:color w:val="000000"/>
          <w:szCs w:val="21"/>
        </w:rPr>
        <w:t>巴斯大学化学荣誉</w:t>
      </w:r>
      <w:r w:rsidR="00DA650C">
        <w:rPr>
          <w:rFonts w:hint="eastAsia"/>
          <w:color w:val="000000"/>
          <w:szCs w:val="21"/>
        </w:rPr>
        <w:t>荣休</w:t>
      </w:r>
      <w:r w:rsidR="00DA650C" w:rsidRPr="00DA650C">
        <w:rPr>
          <w:rFonts w:hint="eastAsia"/>
          <w:color w:val="000000"/>
          <w:szCs w:val="21"/>
        </w:rPr>
        <w:t>教授。在巴斯大学获得</w:t>
      </w:r>
      <w:r w:rsidR="004E32DB">
        <w:rPr>
          <w:rFonts w:hint="eastAsia"/>
          <w:color w:val="000000"/>
          <w:szCs w:val="21"/>
        </w:rPr>
        <w:t>了</w:t>
      </w:r>
      <w:r w:rsidR="00DA650C" w:rsidRPr="00DA650C">
        <w:rPr>
          <w:rFonts w:hint="eastAsia"/>
          <w:color w:val="000000"/>
          <w:szCs w:val="21"/>
        </w:rPr>
        <w:t>物理化学学士学位和博士学位，并在加拿大多伦多进行博士后研究后，他于</w:t>
      </w:r>
      <w:r w:rsidR="00DA650C" w:rsidRPr="00DA650C">
        <w:rPr>
          <w:rFonts w:hint="eastAsia"/>
          <w:color w:val="000000"/>
          <w:szCs w:val="21"/>
        </w:rPr>
        <w:t>1986</w:t>
      </w:r>
      <w:r w:rsidR="00DA650C" w:rsidRPr="00DA650C">
        <w:rPr>
          <w:rFonts w:hint="eastAsia"/>
          <w:color w:val="000000"/>
          <w:szCs w:val="21"/>
        </w:rPr>
        <w:t>年被任命为伦敦城市大学化学讲师。他于</w:t>
      </w:r>
      <w:r w:rsidR="00DA650C" w:rsidRPr="00DA650C">
        <w:rPr>
          <w:rFonts w:hint="eastAsia"/>
          <w:color w:val="000000"/>
          <w:szCs w:val="21"/>
        </w:rPr>
        <w:t>1988</w:t>
      </w:r>
      <w:r w:rsidR="00DA650C" w:rsidRPr="00DA650C">
        <w:rPr>
          <w:rFonts w:hint="eastAsia"/>
          <w:color w:val="000000"/>
          <w:szCs w:val="21"/>
        </w:rPr>
        <w:t>年</w:t>
      </w:r>
      <w:r w:rsidR="004E32DB">
        <w:rPr>
          <w:rFonts w:hint="eastAsia"/>
          <w:color w:val="000000"/>
          <w:szCs w:val="21"/>
        </w:rPr>
        <w:t>到</w:t>
      </w:r>
      <w:r w:rsidR="00DA650C" w:rsidRPr="00DA650C">
        <w:rPr>
          <w:rFonts w:hint="eastAsia"/>
          <w:color w:val="000000"/>
          <w:szCs w:val="21"/>
        </w:rPr>
        <w:t>巴斯大学</w:t>
      </w:r>
      <w:r w:rsidR="004E32DB">
        <w:rPr>
          <w:rFonts w:hint="eastAsia"/>
          <w:color w:val="000000"/>
          <w:szCs w:val="21"/>
        </w:rPr>
        <w:t>任职</w:t>
      </w:r>
      <w:r w:rsidR="00DA650C" w:rsidRPr="00DA650C">
        <w:rPr>
          <w:rFonts w:hint="eastAsia"/>
          <w:color w:val="000000"/>
          <w:szCs w:val="21"/>
        </w:rPr>
        <w:t>，教授物理和聚合物化学的大部分课程。</w:t>
      </w:r>
      <w:r w:rsidR="00DA650C" w:rsidRPr="00DA650C">
        <w:rPr>
          <w:rFonts w:hint="eastAsia"/>
          <w:color w:val="000000"/>
          <w:szCs w:val="21"/>
        </w:rPr>
        <w:t>2009</w:t>
      </w:r>
      <w:r w:rsidR="00DA650C" w:rsidRPr="00DA650C">
        <w:rPr>
          <w:rFonts w:hint="eastAsia"/>
          <w:color w:val="000000"/>
          <w:szCs w:val="21"/>
        </w:rPr>
        <w:t>年晋升为教授，他曾担任化学系主任和</w:t>
      </w:r>
      <w:proofErr w:type="gramStart"/>
      <w:r w:rsidR="00DA650C" w:rsidRPr="00DA650C">
        <w:rPr>
          <w:rFonts w:hint="eastAsia"/>
          <w:color w:val="000000"/>
          <w:szCs w:val="21"/>
        </w:rPr>
        <w:t>科学副</w:t>
      </w:r>
      <w:proofErr w:type="gramEnd"/>
      <w:r w:rsidR="00DA650C" w:rsidRPr="00DA650C">
        <w:rPr>
          <w:rFonts w:hint="eastAsia"/>
          <w:color w:val="000000"/>
          <w:szCs w:val="21"/>
        </w:rPr>
        <w:t>院长（学习和教学）。他是高等教育学院的高级研究员。</w:t>
      </w:r>
      <w:r w:rsidR="00DA650C" w:rsidRPr="00DA650C">
        <w:rPr>
          <w:rFonts w:hint="eastAsia"/>
          <w:color w:val="000000"/>
          <w:szCs w:val="21"/>
        </w:rPr>
        <w:t>2019</w:t>
      </w:r>
      <w:r w:rsidR="00DA650C" w:rsidRPr="00DA650C">
        <w:rPr>
          <w:rFonts w:hint="eastAsia"/>
          <w:color w:val="000000"/>
          <w:szCs w:val="21"/>
        </w:rPr>
        <w:t>年，他加入阿布扎比哈利法大学，担任化学教授兼主席。除了化学教育，</w:t>
      </w:r>
      <w:r w:rsidR="005B6BC6" w:rsidRPr="005B6BC6">
        <w:rPr>
          <w:rFonts w:hint="eastAsia"/>
          <w:color w:val="000000"/>
          <w:szCs w:val="21"/>
        </w:rPr>
        <w:t>加雷斯</w:t>
      </w:r>
      <w:r w:rsidR="00DA650C" w:rsidRPr="00DA650C">
        <w:rPr>
          <w:rFonts w:hint="eastAsia"/>
          <w:color w:val="000000"/>
          <w:szCs w:val="21"/>
        </w:rPr>
        <w:t>对新型聚合物和纳米粒子的合成、表征和应用也有研究兴趣。在大学之外，他还参与了皇家化学学会的学位课程认证</w:t>
      </w:r>
      <w:r w:rsidR="005B6BC6">
        <w:rPr>
          <w:rFonts w:hint="eastAsia"/>
          <w:color w:val="000000"/>
          <w:szCs w:val="21"/>
        </w:rPr>
        <w:t>工作</w:t>
      </w:r>
      <w:r w:rsidR="00DA650C" w:rsidRPr="00DA650C">
        <w:rPr>
          <w:rFonts w:hint="eastAsia"/>
          <w:color w:val="000000"/>
          <w:szCs w:val="21"/>
        </w:rPr>
        <w:t>，并当选为教育部主席。</w:t>
      </w:r>
    </w:p>
    <w:p w14:paraId="555D9E5F" w14:textId="77777777" w:rsidR="00134E57" w:rsidRDefault="00134E57" w:rsidP="003B16CC">
      <w:pPr>
        <w:rPr>
          <w:color w:val="000000"/>
          <w:szCs w:val="21"/>
        </w:rPr>
      </w:pPr>
    </w:p>
    <w:p w14:paraId="5871B485" w14:textId="77777777" w:rsidR="005C6BB8" w:rsidRDefault="005C6BB8" w:rsidP="003B16CC">
      <w:pPr>
        <w:rPr>
          <w:rFonts w:hint="eastAsia"/>
          <w:color w:val="000000"/>
          <w:szCs w:val="21"/>
        </w:rPr>
      </w:pPr>
    </w:p>
    <w:p w14:paraId="0B045024" w14:textId="77777777" w:rsidR="00140DCC" w:rsidRPr="003B16CC" w:rsidRDefault="00140DCC" w:rsidP="00140D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F8333F1" w14:textId="77777777" w:rsidR="00140DCC" w:rsidRDefault="00140DCC" w:rsidP="00140DCC">
      <w:pPr>
        <w:ind w:firstLineChars="200" w:firstLine="420"/>
        <w:rPr>
          <w:color w:val="000000"/>
          <w:szCs w:val="21"/>
        </w:rPr>
      </w:pPr>
    </w:p>
    <w:p w14:paraId="276C8D9A" w14:textId="34781543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5E56D3" w:rsidRPr="005E56D3">
        <w:rPr>
          <w:rFonts w:hint="eastAsia"/>
          <w:color w:val="000000"/>
          <w:szCs w:val="21"/>
        </w:rPr>
        <w:t>这本完美的化学入门</w:t>
      </w:r>
      <w:r w:rsidR="005E56D3">
        <w:rPr>
          <w:rFonts w:hint="eastAsia"/>
          <w:color w:val="000000"/>
          <w:szCs w:val="21"/>
        </w:rPr>
        <w:t>教科</w:t>
      </w:r>
      <w:r w:rsidR="005E56D3" w:rsidRPr="005E56D3">
        <w:rPr>
          <w:rFonts w:hint="eastAsia"/>
          <w:color w:val="000000"/>
          <w:szCs w:val="21"/>
        </w:rPr>
        <w:t>书涵盖了化学的三个主要部分。如果学生需要重新</w:t>
      </w:r>
      <w:r w:rsidR="005E56D3">
        <w:rPr>
          <w:rFonts w:hint="eastAsia"/>
          <w:color w:val="000000"/>
          <w:szCs w:val="21"/>
        </w:rPr>
        <w:t>复习</w:t>
      </w:r>
      <w:r w:rsidR="005E56D3" w:rsidRPr="005E56D3">
        <w:rPr>
          <w:rFonts w:hint="eastAsia"/>
          <w:color w:val="000000"/>
          <w:szCs w:val="21"/>
        </w:rPr>
        <w:t>某些主题，这本书</w:t>
      </w:r>
      <w:r w:rsidR="005E56D3">
        <w:rPr>
          <w:rFonts w:hint="eastAsia"/>
          <w:color w:val="000000"/>
          <w:szCs w:val="21"/>
        </w:rPr>
        <w:t>在大学生活中一直帮助他们</w:t>
      </w:r>
      <w:r w:rsidR="005E56D3" w:rsidRPr="005E56D3">
        <w:rPr>
          <w:rFonts w:hint="eastAsia"/>
          <w:color w:val="000000"/>
          <w:szCs w:val="21"/>
        </w:rPr>
        <w:t>，也可以作为</w:t>
      </w:r>
      <w:r w:rsidR="005E56D3">
        <w:rPr>
          <w:rFonts w:hint="eastAsia"/>
          <w:color w:val="000000"/>
          <w:szCs w:val="21"/>
        </w:rPr>
        <w:t>学生</w:t>
      </w:r>
      <w:r w:rsidR="005E56D3" w:rsidRPr="005E56D3">
        <w:rPr>
          <w:rFonts w:hint="eastAsia"/>
          <w:color w:val="000000"/>
          <w:szCs w:val="21"/>
        </w:rPr>
        <w:t>深入理解更复杂概念的基石。</w:t>
      </w:r>
      <w:r w:rsidRPr="003B16CC">
        <w:rPr>
          <w:rFonts w:hint="eastAsia"/>
          <w:color w:val="000000"/>
          <w:szCs w:val="21"/>
        </w:rPr>
        <w:t>”</w:t>
      </w:r>
    </w:p>
    <w:p w14:paraId="0A8119C0" w14:textId="4F6DA62A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E56D3" w:rsidRPr="005E56D3">
        <w:rPr>
          <w:rFonts w:hint="eastAsia"/>
          <w:color w:val="000000"/>
          <w:szCs w:val="21"/>
        </w:rPr>
        <w:t>赖萨·伊布雷莫·帕蒂亚</w:t>
      </w:r>
      <w:r w:rsidR="005E56D3">
        <w:rPr>
          <w:rFonts w:hint="eastAsia"/>
          <w:color w:val="000000"/>
          <w:szCs w:val="21"/>
        </w:rPr>
        <w:t>（</w:t>
      </w:r>
      <w:proofErr w:type="spellStart"/>
      <w:r w:rsidR="005E56D3" w:rsidRPr="005E56D3">
        <w:rPr>
          <w:rFonts w:hint="eastAsia"/>
          <w:color w:val="000000"/>
          <w:szCs w:val="21"/>
        </w:rPr>
        <w:t>Raissa</w:t>
      </w:r>
      <w:proofErr w:type="spellEnd"/>
      <w:r w:rsidR="005E56D3" w:rsidRPr="005E56D3">
        <w:rPr>
          <w:rFonts w:hint="eastAsia"/>
          <w:color w:val="000000"/>
          <w:szCs w:val="21"/>
        </w:rPr>
        <w:t xml:space="preserve"> </w:t>
      </w:r>
      <w:proofErr w:type="spellStart"/>
      <w:r w:rsidR="005E56D3" w:rsidRPr="005E56D3">
        <w:rPr>
          <w:rFonts w:hint="eastAsia"/>
          <w:color w:val="000000"/>
          <w:szCs w:val="21"/>
        </w:rPr>
        <w:t>Ibraimo</w:t>
      </w:r>
      <w:proofErr w:type="spellEnd"/>
      <w:r w:rsidR="005E56D3" w:rsidRPr="005E56D3">
        <w:rPr>
          <w:rFonts w:hint="eastAsia"/>
          <w:color w:val="000000"/>
          <w:szCs w:val="21"/>
        </w:rPr>
        <w:t xml:space="preserve"> </w:t>
      </w:r>
      <w:proofErr w:type="spellStart"/>
      <w:r w:rsidR="005E56D3" w:rsidRPr="005E56D3">
        <w:rPr>
          <w:rFonts w:hint="eastAsia"/>
          <w:color w:val="000000"/>
          <w:szCs w:val="21"/>
        </w:rPr>
        <w:t>Patia</w:t>
      </w:r>
      <w:proofErr w:type="spellEnd"/>
      <w:r w:rsidR="005E56D3">
        <w:rPr>
          <w:rFonts w:hint="eastAsia"/>
          <w:color w:val="000000"/>
          <w:szCs w:val="21"/>
        </w:rPr>
        <w:t>）</w:t>
      </w:r>
      <w:r w:rsidR="005E56D3" w:rsidRPr="005E56D3">
        <w:rPr>
          <w:rFonts w:hint="eastAsia"/>
          <w:color w:val="000000"/>
          <w:szCs w:val="21"/>
        </w:rPr>
        <w:t>博士</w:t>
      </w:r>
      <w:r w:rsidR="005E56D3">
        <w:rPr>
          <w:rFonts w:hint="eastAsia"/>
          <w:color w:val="000000"/>
          <w:szCs w:val="21"/>
        </w:rPr>
        <w:t>，</w:t>
      </w:r>
      <w:r w:rsidR="005E56D3" w:rsidRPr="005E56D3">
        <w:rPr>
          <w:rFonts w:hint="eastAsia"/>
          <w:color w:val="000000"/>
          <w:szCs w:val="21"/>
        </w:rPr>
        <w:t>拉夫堡大学</w:t>
      </w:r>
    </w:p>
    <w:p w14:paraId="35A3DF9B" w14:textId="0209D36C" w:rsidR="00140DCC" w:rsidRDefault="00140DCC" w:rsidP="003B16CC">
      <w:pPr>
        <w:rPr>
          <w:color w:val="000000"/>
          <w:szCs w:val="21"/>
        </w:rPr>
      </w:pPr>
    </w:p>
    <w:p w14:paraId="04E985B8" w14:textId="04DFAC96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lastRenderedPageBreak/>
        <w:t>“</w:t>
      </w:r>
      <w:r w:rsidR="005E56D3" w:rsidRPr="005E56D3">
        <w:rPr>
          <w:rFonts w:hint="eastAsia"/>
          <w:color w:val="000000"/>
          <w:szCs w:val="21"/>
        </w:rPr>
        <w:t>最好的化学入门教科书。使</w:t>
      </w:r>
      <w:r w:rsidR="005E56D3">
        <w:rPr>
          <w:rFonts w:hint="eastAsia"/>
          <w:color w:val="000000"/>
          <w:szCs w:val="21"/>
        </w:rPr>
        <w:t>本书</w:t>
      </w:r>
      <w:r w:rsidR="005E56D3" w:rsidRPr="005E56D3">
        <w:rPr>
          <w:rFonts w:hint="eastAsia"/>
          <w:color w:val="000000"/>
          <w:szCs w:val="21"/>
        </w:rPr>
        <w:t>与众不同的关键</w:t>
      </w:r>
      <w:r w:rsidR="005E56D3">
        <w:rPr>
          <w:rFonts w:hint="eastAsia"/>
          <w:color w:val="000000"/>
          <w:szCs w:val="21"/>
        </w:rPr>
        <w:t>特点</w:t>
      </w:r>
      <w:r w:rsidR="005E56D3" w:rsidRPr="005E56D3">
        <w:rPr>
          <w:rFonts w:hint="eastAsia"/>
          <w:color w:val="000000"/>
          <w:szCs w:val="21"/>
        </w:rPr>
        <w:t>是集中有效的学习策略，为</w:t>
      </w:r>
      <w:r w:rsidR="005E56D3">
        <w:rPr>
          <w:rFonts w:hint="eastAsia"/>
          <w:color w:val="000000"/>
          <w:szCs w:val="21"/>
        </w:rPr>
        <w:t>读者奠定化学学习基础</w:t>
      </w:r>
      <w:r w:rsidR="005E56D3" w:rsidRPr="005E56D3">
        <w:rPr>
          <w:rFonts w:hint="eastAsia"/>
          <w:color w:val="000000"/>
          <w:szCs w:val="21"/>
        </w:rPr>
        <w:t>，并支持学生过渡到高等教育</w:t>
      </w:r>
      <w:r w:rsidR="00C84A4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0DBB9753" w14:textId="3F06B2D3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E56D3" w:rsidRPr="005E56D3">
        <w:rPr>
          <w:rFonts w:hint="eastAsia"/>
          <w:color w:val="000000"/>
          <w:szCs w:val="21"/>
        </w:rPr>
        <w:t>朱莉娅·萨尔朱</w:t>
      </w:r>
      <w:r w:rsidR="005E56D3">
        <w:rPr>
          <w:rFonts w:hint="eastAsia"/>
          <w:color w:val="000000"/>
          <w:szCs w:val="21"/>
        </w:rPr>
        <w:t>（</w:t>
      </w:r>
      <w:r w:rsidR="005E56D3" w:rsidRPr="005E56D3">
        <w:rPr>
          <w:rFonts w:hint="eastAsia"/>
          <w:color w:val="000000"/>
          <w:szCs w:val="21"/>
        </w:rPr>
        <w:t xml:space="preserve">Julia </w:t>
      </w:r>
      <w:proofErr w:type="spellStart"/>
      <w:r w:rsidR="005E56D3" w:rsidRPr="005E56D3">
        <w:rPr>
          <w:rFonts w:hint="eastAsia"/>
          <w:color w:val="000000"/>
          <w:szCs w:val="21"/>
        </w:rPr>
        <w:t>Sarju</w:t>
      </w:r>
      <w:proofErr w:type="spellEnd"/>
      <w:r w:rsidR="005E56D3">
        <w:rPr>
          <w:rFonts w:hint="eastAsia"/>
          <w:color w:val="000000"/>
          <w:szCs w:val="21"/>
        </w:rPr>
        <w:t>）</w:t>
      </w:r>
      <w:r w:rsidR="005E56D3" w:rsidRPr="005E56D3">
        <w:rPr>
          <w:rFonts w:hint="eastAsia"/>
          <w:color w:val="000000"/>
          <w:szCs w:val="21"/>
        </w:rPr>
        <w:t>博士</w:t>
      </w:r>
      <w:r w:rsidR="005E56D3">
        <w:rPr>
          <w:rFonts w:hint="eastAsia"/>
          <w:color w:val="000000"/>
          <w:szCs w:val="21"/>
        </w:rPr>
        <w:t>，约克大学</w:t>
      </w:r>
    </w:p>
    <w:p w14:paraId="4E00848A" w14:textId="70A8F675" w:rsidR="00140DCC" w:rsidRDefault="00140DCC" w:rsidP="003B16CC">
      <w:pPr>
        <w:rPr>
          <w:color w:val="000000"/>
          <w:szCs w:val="21"/>
        </w:rPr>
      </w:pPr>
    </w:p>
    <w:p w14:paraId="331D09E0" w14:textId="36D71AD5" w:rsidR="00DD5A12" w:rsidRDefault="00DD5A12" w:rsidP="00DD5A1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91B9B" w:rsidRPr="00791B9B">
        <w:rPr>
          <w:rFonts w:hint="eastAsia"/>
          <w:color w:val="000000"/>
          <w:szCs w:val="21"/>
        </w:rPr>
        <w:t>作为大学水平化学的入门，</w:t>
      </w:r>
      <w:r w:rsidR="00791B9B">
        <w:rPr>
          <w:rFonts w:hint="eastAsia"/>
          <w:color w:val="000000"/>
          <w:szCs w:val="21"/>
        </w:rPr>
        <w:t>这本书</w:t>
      </w:r>
      <w:r w:rsidR="00791B9B" w:rsidRPr="00791B9B">
        <w:rPr>
          <w:rFonts w:hint="eastAsia"/>
          <w:color w:val="000000"/>
          <w:szCs w:val="21"/>
        </w:rPr>
        <w:t>无与伦比。特别是，现代</w:t>
      </w:r>
      <w:r w:rsidR="00791B9B">
        <w:rPr>
          <w:rFonts w:hint="eastAsia"/>
          <w:color w:val="000000"/>
          <w:szCs w:val="21"/>
        </w:rPr>
        <w:t>的</w:t>
      </w:r>
      <w:r w:rsidR="00791B9B" w:rsidRPr="00791B9B">
        <w:rPr>
          <w:rFonts w:hint="eastAsia"/>
          <w:color w:val="000000"/>
          <w:szCs w:val="21"/>
        </w:rPr>
        <w:t>写作风格、将化学置于</w:t>
      </w:r>
      <w:r w:rsidR="00791B9B">
        <w:rPr>
          <w:rFonts w:hint="eastAsia"/>
          <w:color w:val="000000"/>
          <w:szCs w:val="21"/>
        </w:rPr>
        <w:t>情景</w:t>
      </w:r>
      <w:r w:rsidR="00791B9B" w:rsidRPr="00791B9B">
        <w:rPr>
          <w:rFonts w:hint="eastAsia"/>
          <w:color w:val="000000"/>
          <w:szCs w:val="21"/>
        </w:rPr>
        <w:t>中以及对学生友好的一般方法使其</w:t>
      </w:r>
      <w:r w:rsidR="00791B9B">
        <w:rPr>
          <w:rFonts w:hint="eastAsia"/>
          <w:color w:val="000000"/>
          <w:szCs w:val="21"/>
        </w:rPr>
        <w:t>在</w:t>
      </w:r>
      <w:r w:rsidR="00791B9B" w:rsidRPr="00791B9B">
        <w:rPr>
          <w:rFonts w:hint="eastAsia"/>
          <w:color w:val="000000"/>
          <w:szCs w:val="21"/>
        </w:rPr>
        <w:t>其他任何化学书籍</w:t>
      </w:r>
      <w:bookmarkStart w:id="3" w:name="_GoBack"/>
      <w:bookmarkEnd w:id="3"/>
      <w:r w:rsidR="00791B9B">
        <w:rPr>
          <w:rFonts w:hint="eastAsia"/>
          <w:color w:val="000000"/>
          <w:szCs w:val="21"/>
        </w:rPr>
        <w:t>中脱颖而出</w:t>
      </w:r>
      <w:r w:rsidR="00791B9B" w:rsidRPr="00791B9B">
        <w:rPr>
          <w:rFonts w:hint="eastAsia"/>
          <w:color w:val="000000"/>
          <w:szCs w:val="21"/>
        </w:rPr>
        <w:t>。我也</w:t>
      </w:r>
      <w:r w:rsidR="00B66323">
        <w:rPr>
          <w:rFonts w:hint="eastAsia"/>
          <w:color w:val="000000"/>
          <w:szCs w:val="21"/>
        </w:rPr>
        <w:t>高兴</w:t>
      </w:r>
      <w:r w:rsidR="00791B9B" w:rsidRPr="00791B9B">
        <w:rPr>
          <w:rFonts w:hint="eastAsia"/>
          <w:color w:val="000000"/>
          <w:szCs w:val="21"/>
        </w:rPr>
        <w:t>它将四个分支（无机、有机、物理和分析</w:t>
      </w:r>
      <w:r w:rsidR="005E0E6A">
        <w:rPr>
          <w:rFonts w:hint="eastAsia"/>
          <w:color w:val="000000"/>
          <w:szCs w:val="21"/>
        </w:rPr>
        <w:t>化学</w:t>
      </w:r>
      <w:r w:rsidR="00791B9B" w:rsidRPr="00791B9B">
        <w:rPr>
          <w:rFonts w:hint="eastAsia"/>
          <w:color w:val="000000"/>
          <w:szCs w:val="21"/>
        </w:rPr>
        <w:t>）作为一个整体，而不是将不同的部分割裂开来。</w:t>
      </w:r>
      <w:r w:rsidRPr="003B16CC">
        <w:rPr>
          <w:rFonts w:hint="eastAsia"/>
          <w:color w:val="000000"/>
          <w:szCs w:val="21"/>
        </w:rPr>
        <w:t>”</w:t>
      </w:r>
    </w:p>
    <w:p w14:paraId="7C1093E3" w14:textId="2C3B80BB" w:rsidR="00DD5A12" w:rsidRPr="003B16CC" w:rsidRDefault="00DD5A12" w:rsidP="00DD5A1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66323" w:rsidRPr="00B66323">
        <w:rPr>
          <w:rFonts w:hint="eastAsia"/>
          <w:color w:val="000000"/>
          <w:szCs w:val="21"/>
        </w:rPr>
        <w:t>J.</w:t>
      </w:r>
      <w:r w:rsidR="00B66323" w:rsidRPr="00B66323">
        <w:rPr>
          <w:rFonts w:hint="eastAsia"/>
          <w:color w:val="000000"/>
          <w:szCs w:val="21"/>
        </w:rPr>
        <w:t>格兰特·希尔</w:t>
      </w:r>
      <w:r w:rsidR="00B66323">
        <w:rPr>
          <w:rFonts w:hint="eastAsia"/>
          <w:color w:val="000000"/>
          <w:szCs w:val="21"/>
        </w:rPr>
        <w:t>（</w:t>
      </w:r>
      <w:proofErr w:type="spellStart"/>
      <w:r w:rsidR="00B66323" w:rsidRPr="00B66323">
        <w:rPr>
          <w:color w:val="000000"/>
          <w:szCs w:val="21"/>
        </w:rPr>
        <w:t>J.Grant</w:t>
      </w:r>
      <w:proofErr w:type="spellEnd"/>
      <w:r w:rsidR="00B66323" w:rsidRPr="00B66323">
        <w:rPr>
          <w:color w:val="000000"/>
          <w:szCs w:val="21"/>
        </w:rPr>
        <w:t xml:space="preserve"> Hill</w:t>
      </w:r>
      <w:r w:rsidR="00B66323">
        <w:rPr>
          <w:rFonts w:hint="eastAsia"/>
          <w:color w:val="000000"/>
          <w:szCs w:val="21"/>
        </w:rPr>
        <w:t>），</w:t>
      </w:r>
      <w:r w:rsidR="00B66323" w:rsidRPr="00B66323">
        <w:rPr>
          <w:rFonts w:hint="eastAsia"/>
          <w:color w:val="000000"/>
          <w:szCs w:val="21"/>
        </w:rPr>
        <w:t>谢菲尔德大学</w:t>
      </w:r>
    </w:p>
    <w:p w14:paraId="1D03E642" w14:textId="2306708A" w:rsidR="00140DCC" w:rsidRDefault="00140DCC" w:rsidP="003B16CC">
      <w:pPr>
        <w:rPr>
          <w:color w:val="000000"/>
          <w:szCs w:val="21"/>
        </w:rPr>
      </w:pPr>
    </w:p>
    <w:p w14:paraId="704514E2" w14:textId="447B9FBF" w:rsidR="00FE4D00" w:rsidRDefault="00FE4D00" w:rsidP="00FE4D0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66323">
        <w:rPr>
          <w:rFonts w:hint="eastAsia"/>
          <w:color w:val="000000"/>
          <w:szCs w:val="21"/>
        </w:rPr>
        <w:t>大</w:t>
      </w:r>
      <w:proofErr w:type="gramStart"/>
      <w:r w:rsidR="00B66323">
        <w:rPr>
          <w:rFonts w:hint="eastAsia"/>
          <w:color w:val="000000"/>
          <w:szCs w:val="21"/>
        </w:rPr>
        <w:t>一</w:t>
      </w:r>
      <w:proofErr w:type="gramEnd"/>
      <w:r w:rsidR="00B66323">
        <w:rPr>
          <w:rFonts w:hint="eastAsia"/>
          <w:color w:val="000000"/>
          <w:szCs w:val="21"/>
        </w:rPr>
        <w:t>学生</w:t>
      </w:r>
      <w:r w:rsidR="00B66323" w:rsidRPr="00B66323">
        <w:rPr>
          <w:rFonts w:hint="eastAsia"/>
          <w:color w:val="000000"/>
          <w:szCs w:val="21"/>
        </w:rPr>
        <w:t>学习化学最好的全方位教材。</w:t>
      </w:r>
      <w:r w:rsidRPr="003B16CC">
        <w:rPr>
          <w:rFonts w:hint="eastAsia"/>
          <w:color w:val="000000"/>
          <w:szCs w:val="21"/>
        </w:rPr>
        <w:t>”</w:t>
      </w:r>
    </w:p>
    <w:p w14:paraId="49182863" w14:textId="6F3EF1BC" w:rsidR="00DD5A12" w:rsidRDefault="00FE4D00" w:rsidP="00FE4D00">
      <w:pPr>
        <w:jc w:val="right"/>
      </w:pPr>
      <w:r w:rsidRPr="003B16CC">
        <w:rPr>
          <w:rFonts w:hint="eastAsia"/>
          <w:color w:val="000000"/>
          <w:szCs w:val="21"/>
        </w:rPr>
        <w:t>——</w:t>
      </w:r>
      <w:r w:rsidR="00B66323" w:rsidRPr="00B66323">
        <w:rPr>
          <w:rFonts w:hint="eastAsia"/>
          <w:color w:val="000000"/>
          <w:szCs w:val="21"/>
        </w:rPr>
        <w:t>巴文·帕特尔</w:t>
      </w:r>
      <w:r w:rsidR="00B66323">
        <w:rPr>
          <w:rFonts w:hint="eastAsia"/>
          <w:color w:val="000000"/>
          <w:szCs w:val="21"/>
        </w:rPr>
        <w:t>（</w:t>
      </w:r>
      <w:proofErr w:type="spellStart"/>
      <w:r w:rsidR="00B66323" w:rsidRPr="00B66323">
        <w:rPr>
          <w:rFonts w:hint="eastAsia"/>
          <w:color w:val="000000"/>
          <w:szCs w:val="21"/>
        </w:rPr>
        <w:t>Bhaven</w:t>
      </w:r>
      <w:proofErr w:type="spellEnd"/>
      <w:r w:rsidR="00B66323" w:rsidRPr="00B66323">
        <w:rPr>
          <w:rFonts w:hint="eastAsia"/>
          <w:color w:val="000000"/>
          <w:szCs w:val="21"/>
        </w:rPr>
        <w:t xml:space="preserve"> Patel</w:t>
      </w:r>
      <w:r w:rsidR="00B66323">
        <w:rPr>
          <w:rFonts w:hint="eastAsia"/>
          <w:color w:val="000000"/>
          <w:szCs w:val="21"/>
        </w:rPr>
        <w:t>）</w:t>
      </w:r>
      <w:r w:rsidR="00B66323" w:rsidRPr="00B66323">
        <w:rPr>
          <w:rFonts w:hint="eastAsia"/>
          <w:color w:val="000000"/>
          <w:szCs w:val="21"/>
        </w:rPr>
        <w:t>博士</w:t>
      </w:r>
      <w:r w:rsidR="00B66323">
        <w:rPr>
          <w:rFonts w:hint="eastAsia"/>
          <w:color w:val="000000"/>
          <w:szCs w:val="21"/>
        </w:rPr>
        <w:t>，</w:t>
      </w:r>
      <w:r w:rsidR="00B66323" w:rsidRPr="00B66323">
        <w:rPr>
          <w:rFonts w:hint="eastAsia"/>
          <w:color w:val="000000"/>
          <w:szCs w:val="21"/>
        </w:rPr>
        <w:t>伦敦城市大学</w:t>
      </w:r>
    </w:p>
    <w:p w14:paraId="3B6E676B" w14:textId="15824505" w:rsidR="00FE4D00" w:rsidRDefault="00FE4D00" w:rsidP="00FE4D00">
      <w:pPr>
        <w:jc w:val="right"/>
        <w:rPr>
          <w:color w:val="000000"/>
          <w:szCs w:val="21"/>
        </w:rPr>
      </w:pPr>
    </w:p>
    <w:p w14:paraId="419E9FCB" w14:textId="77777777" w:rsidR="00FE4D00" w:rsidRDefault="00FE4D00" w:rsidP="00FE4D00">
      <w:pPr>
        <w:jc w:val="right"/>
        <w:rPr>
          <w:color w:val="000000"/>
          <w:szCs w:val="21"/>
        </w:rPr>
      </w:pPr>
    </w:p>
    <w:p w14:paraId="23067D56" w14:textId="43C04799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1F6F9B" w:rsidRPr="001F6F9B">
        <w:rPr>
          <w:rFonts w:hint="eastAsia"/>
          <w:b/>
          <w:bCs/>
          <w:color w:val="000000"/>
          <w:sz w:val="30"/>
          <w:szCs w:val="30"/>
        </w:rPr>
        <w:t>化学立方：无机化学，有机化学和物理化学（第五版）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7A68E11B" w14:textId="77777777" w:rsidR="00671F5D" w:rsidRDefault="00671F5D" w:rsidP="007433E0">
      <w:pPr>
        <w:jc w:val="center"/>
        <w:rPr>
          <w:bCs/>
          <w:color w:val="000000"/>
          <w:szCs w:val="21"/>
        </w:rPr>
      </w:pPr>
    </w:p>
    <w:p w14:paraId="5EECE752" w14:textId="1AAE8D4E" w:rsidR="00671F5D" w:rsidRPr="00455C78" w:rsidRDefault="00455C78" w:rsidP="007433E0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目录</w:t>
      </w:r>
    </w:p>
    <w:p w14:paraId="23421D3D" w14:textId="6702108C" w:rsidR="00E82D90" w:rsidRDefault="007A3991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455C78" w:rsidRPr="00455C78">
        <w:rPr>
          <w:rFonts w:hint="eastAsia"/>
          <w:bCs/>
          <w:color w:val="000000"/>
          <w:szCs w:val="21"/>
        </w:rPr>
        <w:t>基础</w:t>
      </w:r>
    </w:p>
    <w:p w14:paraId="78E66DDF" w14:textId="18CACD8D" w:rsidR="00E82D90" w:rsidRDefault="00C43C62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455C78" w:rsidRPr="00455C78">
        <w:rPr>
          <w:rFonts w:hint="eastAsia"/>
          <w:bCs/>
          <w:color w:val="000000"/>
          <w:szCs w:val="21"/>
        </w:rPr>
        <w:t>有机化学的语言</w:t>
      </w:r>
    </w:p>
    <w:p w14:paraId="06B58C35" w14:textId="526E64D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455C78" w:rsidRPr="00455C78">
        <w:rPr>
          <w:rFonts w:hint="eastAsia"/>
          <w:bCs/>
          <w:color w:val="000000"/>
          <w:szCs w:val="21"/>
        </w:rPr>
        <w:t>原子</w:t>
      </w:r>
      <w:r w:rsidR="00455C78">
        <w:rPr>
          <w:rFonts w:hint="eastAsia"/>
          <w:bCs/>
          <w:color w:val="000000"/>
          <w:szCs w:val="21"/>
        </w:rPr>
        <w:t>的</w:t>
      </w:r>
      <w:r w:rsidR="00455C78" w:rsidRPr="00455C78">
        <w:rPr>
          <w:rFonts w:hint="eastAsia"/>
          <w:bCs/>
          <w:color w:val="000000"/>
          <w:szCs w:val="21"/>
        </w:rPr>
        <w:t>结构和性质</w:t>
      </w:r>
    </w:p>
    <w:p w14:paraId="41AE05B4" w14:textId="3F1C89E0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455C78" w:rsidRPr="00455C78">
        <w:rPr>
          <w:rFonts w:hint="eastAsia"/>
        </w:rPr>
        <w:t>双原子分子</w:t>
      </w:r>
    </w:p>
    <w:p w14:paraId="65399AEF" w14:textId="3703CD28" w:rsidR="00E82D90" w:rsidRPr="007433E0" w:rsidRDefault="004831C2" w:rsidP="007433E0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455C78" w:rsidRPr="00455C78">
        <w:rPr>
          <w:rFonts w:hint="eastAsia"/>
          <w:bCs/>
          <w:color w:val="000000"/>
          <w:szCs w:val="21"/>
        </w:rPr>
        <w:t>多原子分子</w:t>
      </w:r>
    </w:p>
    <w:p w14:paraId="46B2AF55" w14:textId="34C4BFD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455C78" w:rsidRPr="00455C78">
        <w:rPr>
          <w:rFonts w:hint="eastAsia"/>
          <w:bCs/>
          <w:color w:val="000000"/>
          <w:szCs w:val="21"/>
        </w:rPr>
        <w:t>固体</w:t>
      </w:r>
    </w:p>
    <w:p w14:paraId="5746CEB6" w14:textId="769A573C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455C78" w:rsidRPr="00455C78">
        <w:rPr>
          <w:rFonts w:hint="eastAsia"/>
          <w:bCs/>
          <w:color w:val="000000"/>
          <w:szCs w:val="21"/>
        </w:rPr>
        <w:t>酸和</w:t>
      </w:r>
      <w:proofErr w:type="gramStart"/>
      <w:r w:rsidR="00455C78" w:rsidRPr="00455C78">
        <w:rPr>
          <w:rFonts w:hint="eastAsia"/>
          <w:bCs/>
          <w:color w:val="000000"/>
          <w:szCs w:val="21"/>
        </w:rPr>
        <w:t>碱</w:t>
      </w:r>
      <w:proofErr w:type="gramEnd"/>
    </w:p>
    <w:p w14:paraId="2257BF3E" w14:textId="5F5D5E6F" w:rsidR="00E82D90" w:rsidRP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455C78" w:rsidRPr="00455C78">
        <w:rPr>
          <w:rFonts w:hint="eastAsia"/>
          <w:bCs/>
          <w:color w:val="000000"/>
          <w:szCs w:val="21"/>
        </w:rPr>
        <w:t>气体</w:t>
      </w:r>
    </w:p>
    <w:p w14:paraId="65AB4015" w14:textId="0973F81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455C78" w:rsidRPr="00455C78">
        <w:rPr>
          <w:rFonts w:hint="eastAsia"/>
          <w:bCs/>
          <w:color w:val="000000"/>
          <w:szCs w:val="21"/>
        </w:rPr>
        <w:t>反应动力学</w:t>
      </w:r>
    </w:p>
    <w:p w14:paraId="4D843D2C" w14:textId="40B4EF29" w:rsidR="00651071" w:rsidRPr="00651071" w:rsidRDefault="00651071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455C78" w:rsidRPr="00455C78">
        <w:rPr>
          <w:rFonts w:hint="eastAsia"/>
          <w:bCs/>
          <w:color w:val="000000"/>
          <w:szCs w:val="21"/>
        </w:rPr>
        <w:t>分子光谱学</w:t>
      </w:r>
    </w:p>
    <w:p w14:paraId="194EA044" w14:textId="6B6962D5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455C78" w:rsidRPr="00455C78">
        <w:rPr>
          <w:rFonts w:hint="eastAsia"/>
          <w:bCs/>
          <w:color w:val="000000"/>
          <w:szCs w:val="21"/>
        </w:rPr>
        <w:t>分析化学</w:t>
      </w:r>
    </w:p>
    <w:p w14:paraId="3B0F4B49" w14:textId="62663995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455C78" w:rsidRPr="00455C78">
        <w:rPr>
          <w:rFonts w:hint="eastAsia"/>
          <w:bCs/>
          <w:color w:val="000000"/>
          <w:szCs w:val="21"/>
        </w:rPr>
        <w:t>分子特征</w:t>
      </w:r>
    </w:p>
    <w:p w14:paraId="51CACA79" w14:textId="3F172DC8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455C78" w:rsidRPr="00455C78">
        <w:rPr>
          <w:rFonts w:hint="eastAsia"/>
          <w:bCs/>
          <w:color w:val="000000"/>
          <w:szCs w:val="21"/>
        </w:rPr>
        <w:t>能源和热化学</w:t>
      </w:r>
    </w:p>
    <w:p w14:paraId="0A5BB888" w14:textId="1891D305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proofErr w:type="gramStart"/>
      <w:r w:rsidR="00455C78" w:rsidRPr="00455C78">
        <w:rPr>
          <w:rFonts w:hint="eastAsia"/>
          <w:bCs/>
          <w:color w:val="000000"/>
          <w:szCs w:val="21"/>
        </w:rPr>
        <w:t>熵和吉布斯能</w:t>
      </w:r>
      <w:proofErr w:type="gramEnd"/>
    </w:p>
    <w:p w14:paraId="32FB53E0" w14:textId="2CDA1980" w:rsidR="00D67430" w:rsidRDefault="00D67430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="00455C78" w:rsidRPr="00455C78">
        <w:rPr>
          <w:rFonts w:hint="eastAsia"/>
          <w:bCs/>
          <w:color w:val="000000"/>
          <w:szCs w:val="21"/>
        </w:rPr>
        <w:t>化学平衡</w:t>
      </w:r>
    </w:p>
    <w:p w14:paraId="68122AA8" w14:textId="3E9895A3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="00455C78" w:rsidRPr="00455C78">
        <w:rPr>
          <w:rFonts w:hint="eastAsia"/>
          <w:bCs/>
          <w:color w:val="000000"/>
          <w:szCs w:val="21"/>
        </w:rPr>
        <w:t>电化学</w:t>
      </w:r>
    </w:p>
    <w:p w14:paraId="65F53E62" w14:textId="1D3910D1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="00455C78" w:rsidRPr="00455C78">
        <w:rPr>
          <w:rFonts w:hint="eastAsia"/>
          <w:bCs/>
          <w:color w:val="000000"/>
          <w:szCs w:val="21"/>
        </w:rPr>
        <w:t>相平衡和解</w:t>
      </w:r>
    </w:p>
    <w:p w14:paraId="3C9119FA" w14:textId="6B7F36F6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="00455C78" w:rsidRPr="00455C78">
        <w:rPr>
          <w:rFonts w:hint="eastAsia"/>
          <w:bCs/>
          <w:color w:val="000000"/>
          <w:szCs w:val="21"/>
        </w:rPr>
        <w:t>异构和立体化学</w:t>
      </w:r>
    </w:p>
    <w:p w14:paraId="3FF76E21" w14:textId="0CAB4EFA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="00455C78" w:rsidRPr="00455C78">
        <w:rPr>
          <w:rFonts w:hint="eastAsia"/>
          <w:bCs/>
          <w:color w:val="000000"/>
          <w:szCs w:val="21"/>
        </w:rPr>
        <w:t>有机反应</w:t>
      </w:r>
      <w:r w:rsidR="00455C78">
        <w:rPr>
          <w:rFonts w:hint="eastAsia"/>
          <w:bCs/>
          <w:color w:val="000000"/>
          <w:szCs w:val="21"/>
        </w:rPr>
        <w:t>机制</w:t>
      </w:r>
    </w:p>
    <w:p w14:paraId="02D42258" w14:textId="6651D35E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="00455C78" w:rsidRPr="00455C78">
        <w:rPr>
          <w:rFonts w:hint="eastAsia"/>
          <w:bCs/>
          <w:color w:val="000000"/>
          <w:szCs w:val="21"/>
        </w:rPr>
        <w:t>卤代烷</w:t>
      </w:r>
    </w:p>
    <w:p w14:paraId="67A85674" w14:textId="1BDF2834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</w:t>
      </w:r>
      <w:r w:rsidR="00455C78" w:rsidRPr="00455C78">
        <w:rPr>
          <w:rFonts w:hint="eastAsia"/>
          <w:bCs/>
          <w:color w:val="000000"/>
          <w:szCs w:val="21"/>
        </w:rPr>
        <w:t>烯烃和炔烃</w:t>
      </w:r>
    </w:p>
    <w:p w14:paraId="32D2C9AA" w14:textId="5BA7EB98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="00455C78" w:rsidRPr="00455C78">
        <w:rPr>
          <w:rFonts w:hint="eastAsia"/>
          <w:bCs/>
          <w:color w:val="000000"/>
          <w:szCs w:val="21"/>
        </w:rPr>
        <w:t>苯和其他芳香族化合物</w:t>
      </w:r>
    </w:p>
    <w:p w14:paraId="1A4CCAAD" w14:textId="700C247B" w:rsidR="00671F5D" w:rsidRDefault="00671F5D" w:rsidP="00671F5D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="00455C78" w:rsidRPr="00455C78">
        <w:rPr>
          <w:rFonts w:hint="eastAsia"/>
          <w:bCs/>
          <w:color w:val="000000"/>
          <w:szCs w:val="21"/>
        </w:rPr>
        <w:t>醛和</w:t>
      </w:r>
      <w:proofErr w:type="gramStart"/>
      <w:r w:rsidR="00455C78" w:rsidRPr="00455C78">
        <w:rPr>
          <w:rFonts w:hint="eastAsia"/>
          <w:bCs/>
          <w:color w:val="000000"/>
          <w:szCs w:val="21"/>
        </w:rPr>
        <w:t>酮</w:t>
      </w:r>
      <w:proofErr w:type="gramEnd"/>
    </w:p>
    <w:p w14:paraId="696A7C0F" w14:textId="2C91E35F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</w:t>
      </w:r>
      <w:r w:rsidR="00455C78" w:rsidRPr="00455C78">
        <w:rPr>
          <w:rFonts w:hint="eastAsia"/>
          <w:bCs/>
          <w:color w:val="000000"/>
          <w:szCs w:val="21"/>
        </w:rPr>
        <w:t>羧酸及其衍生物</w:t>
      </w:r>
    </w:p>
    <w:p w14:paraId="47D09F2D" w14:textId="24177E6F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</w:t>
      </w:r>
      <w:r w:rsidR="00455C78" w:rsidRPr="00455C78">
        <w:rPr>
          <w:rFonts w:hint="eastAsia"/>
          <w:bCs/>
          <w:color w:val="000000"/>
          <w:szCs w:val="21"/>
        </w:rPr>
        <w:t>氢气</w:t>
      </w:r>
    </w:p>
    <w:p w14:paraId="36A6D2C1" w14:textId="5759A9B3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第二十六章：</w:t>
      </w:r>
      <w:r w:rsidR="00455C78">
        <w:rPr>
          <w:rFonts w:hint="eastAsia"/>
          <w:bCs/>
          <w:color w:val="000000"/>
          <w:szCs w:val="21"/>
        </w:rPr>
        <w:t>s</w:t>
      </w:r>
      <w:r w:rsidR="00455C78">
        <w:rPr>
          <w:rFonts w:hint="eastAsia"/>
          <w:bCs/>
          <w:color w:val="000000"/>
          <w:szCs w:val="21"/>
        </w:rPr>
        <w:t>区元素化学</w:t>
      </w:r>
    </w:p>
    <w:p w14:paraId="6C1C08C3" w14:textId="2ACB9E56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第二十七章：</w:t>
      </w:r>
      <w:r w:rsidR="00455C78">
        <w:rPr>
          <w:rFonts w:hint="eastAsia"/>
          <w:bCs/>
          <w:color w:val="000000"/>
          <w:szCs w:val="21"/>
        </w:rPr>
        <w:t>p</w:t>
      </w:r>
      <w:r w:rsidR="00455C78">
        <w:rPr>
          <w:rFonts w:hint="eastAsia"/>
          <w:bCs/>
          <w:color w:val="000000"/>
          <w:szCs w:val="21"/>
        </w:rPr>
        <w:t>区元素化学</w:t>
      </w:r>
    </w:p>
    <w:p w14:paraId="288E4F15" w14:textId="0B808CC8" w:rsidR="00671F5D" w:rsidRDefault="00671F5D" w:rsidP="0098053B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</w:t>
      </w:r>
      <w:r w:rsidR="00455C78">
        <w:rPr>
          <w:rFonts w:hint="eastAsia"/>
          <w:bCs/>
          <w:color w:val="000000"/>
          <w:szCs w:val="21"/>
        </w:rPr>
        <w:t>d</w:t>
      </w:r>
      <w:r w:rsidR="00455C78">
        <w:rPr>
          <w:rFonts w:hint="eastAsia"/>
          <w:bCs/>
          <w:color w:val="000000"/>
          <w:szCs w:val="21"/>
        </w:rPr>
        <w:t>区元素化学</w:t>
      </w:r>
    </w:p>
    <w:p w14:paraId="5DA5965E" w14:textId="3B6CFACA" w:rsidR="00455C78" w:rsidRDefault="00455C78" w:rsidP="0098053B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数学工具包</w:t>
      </w:r>
    </w:p>
    <w:p w14:paraId="5EDDF890" w14:textId="77777777" w:rsidR="00455C78" w:rsidRDefault="00455C78" w:rsidP="0098053B">
      <w:pPr>
        <w:jc w:val="center"/>
        <w:rPr>
          <w:bCs/>
          <w:color w:val="000000"/>
          <w:szCs w:val="21"/>
        </w:rPr>
      </w:pPr>
    </w:p>
    <w:p w14:paraId="1A10181D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1</w:t>
      </w:r>
      <w:r w:rsidRPr="00455C78">
        <w:rPr>
          <w:rFonts w:hint="eastAsia"/>
          <w:bCs/>
          <w:color w:val="000000"/>
          <w:szCs w:val="21"/>
        </w:rPr>
        <w:t>：数量和单位的缩写和符号</w:t>
      </w:r>
    </w:p>
    <w:p w14:paraId="7679C74E" w14:textId="2A95BABD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2</w:t>
      </w:r>
      <w:r w:rsidRPr="00455C78">
        <w:rPr>
          <w:rFonts w:hint="eastAsia"/>
          <w:bCs/>
          <w:color w:val="000000"/>
          <w:szCs w:val="21"/>
        </w:rPr>
        <w:t>：</w:t>
      </w:r>
      <w:r w:rsidR="00D54095">
        <w:rPr>
          <w:rFonts w:hint="eastAsia"/>
          <w:bCs/>
          <w:color w:val="000000"/>
          <w:szCs w:val="21"/>
        </w:rPr>
        <w:t>典型</w:t>
      </w:r>
      <w:r w:rsidRPr="00455C78">
        <w:rPr>
          <w:rFonts w:hint="eastAsia"/>
          <w:bCs/>
          <w:color w:val="000000"/>
          <w:szCs w:val="21"/>
        </w:rPr>
        <w:t>反应</w:t>
      </w:r>
    </w:p>
    <w:p w14:paraId="38DFF312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3</w:t>
      </w:r>
      <w:r w:rsidRPr="00455C78">
        <w:rPr>
          <w:rFonts w:hint="eastAsia"/>
          <w:bCs/>
          <w:color w:val="000000"/>
          <w:szCs w:val="21"/>
        </w:rPr>
        <w:t>：醇和胺的制备和反应</w:t>
      </w:r>
    </w:p>
    <w:p w14:paraId="027CDD93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4</w:t>
      </w:r>
      <w:r w:rsidRPr="00455C78">
        <w:rPr>
          <w:rFonts w:hint="eastAsia"/>
          <w:bCs/>
          <w:color w:val="000000"/>
          <w:szCs w:val="21"/>
        </w:rPr>
        <w:t>：有机氧化还原反应</w:t>
      </w:r>
    </w:p>
    <w:p w14:paraId="0B4CF053" w14:textId="6B733690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5</w:t>
      </w:r>
      <w:r w:rsidRPr="00455C78">
        <w:rPr>
          <w:rFonts w:hint="eastAsia"/>
          <w:bCs/>
          <w:color w:val="000000"/>
          <w:szCs w:val="21"/>
        </w:rPr>
        <w:t>：</w:t>
      </w:r>
      <w:r w:rsidR="00D54095">
        <w:rPr>
          <w:rFonts w:hint="eastAsia"/>
          <w:bCs/>
          <w:color w:val="000000"/>
          <w:szCs w:val="21"/>
        </w:rPr>
        <w:t>元素</w:t>
      </w:r>
      <w:r w:rsidRPr="00455C78">
        <w:rPr>
          <w:rFonts w:hint="eastAsia"/>
          <w:bCs/>
          <w:color w:val="000000"/>
          <w:szCs w:val="21"/>
        </w:rPr>
        <w:t>特性</w:t>
      </w:r>
    </w:p>
    <w:p w14:paraId="21AC622B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6</w:t>
      </w:r>
      <w:r w:rsidRPr="00455C78">
        <w:rPr>
          <w:rFonts w:hint="eastAsia"/>
          <w:bCs/>
          <w:color w:val="000000"/>
          <w:szCs w:val="21"/>
        </w:rPr>
        <w:t>：元素和一些重要离子的电子构型</w:t>
      </w:r>
    </w:p>
    <w:p w14:paraId="6D3ED710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7</w:t>
      </w:r>
      <w:r w:rsidRPr="00455C78">
        <w:rPr>
          <w:rFonts w:hint="eastAsia"/>
          <w:bCs/>
          <w:color w:val="000000"/>
          <w:szCs w:val="21"/>
        </w:rPr>
        <w:t>：有机和无机化合物的热力学数据</w:t>
      </w:r>
    </w:p>
    <w:p w14:paraId="1ECD6E66" w14:textId="7DA42DD4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8</w:t>
      </w:r>
      <w:r w:rsidRPr="00455C78">
        <w:rPr>
          <w:rFonts w:hint="eastAsia"/>
          <w:bCs/>
          <w:color w:val="000000"/>
          <w:szCs w:val="21"/>
        </w:rPr>
        <w:t>：</w:t>
      </w:r>
      <w:r w:rsidR="00D54095">
        <w:rPr>
          <w:rFonts w:hint="eastAsia"/>
          <w:bCs/>
          <w:color w:val="000000"/>
          <w:szCs w:val="21"/>
        </w:rPr>
        <w:t>特定</w:t>
      </w:r>
      <w:r w:rsidRPr="00455C78">
        <w:rPr>
          <w:rFonts w:hint="eastAsia"/>
          <w:bCs/>
          <w:color w:val="000000"/>
          <w:szCs w:val="21"/>
        </w:rPr>
        <w:t>元素的离子、原子和范德华半径</w:t>
      </w:r>
    </w:p>
    <w:p w14:paraId="4A10F860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9</w:t>
      </w:r>
      <w:r w:rsidRPr="00455C78">
        <w:rPr>
          <w:rFonts w:hint="eastAsia"/>
          <w:bCs/>
          <w:color w:val="000000"/>
          <w:szCs w:val="21"/>
        </w:rPr>
        <w:t>：酸度常数</w:t>
      </w:r>
    </w:p>
    <w:p w14:paraId="081552FF" w14:textId="77777777" w:rsidR="00455C78" w:rsidRPr="00455C78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10</w:t>
      </w:r>
      <w:r w:rsidRPr="00455C78">
        <w:rPr>
          <w:rFonts w:hint="eastAsia"/>
          <w:bCs/>
          <w:color w:val="000000"/>
          <w:szCs w:val="21"/>
        </w:rPr>
        <w:t>：键长和</w:t>
      </w:r>
      <w:proofErr w:type="gramStart"/>
      <w:r w:rsidRPr="00455C78">
        <w:rPr>
          <w:rFonts w:hint="eastAsia"/>
          <w:bCs/>
          <w:color w:val="000000"/>
          <w:szCs w:val="21"/>
        </w:rPr>
        <w:t>键焓</w:t>
      </w:r>
      <w:proofErr w:type="gramEnd"/>
    </w:p>
    <w:p w14:paraId="098DE13C" w14:textId="351DA521" w:rsidR="00C43C62" w:rsidRDefault="00455C78" w:rsidP="00455C78">
      <w:pPr>
        <w:jc w:val="center"/>
        <w:rPr>
          <w:bCs/>
          <w:color w:val="000000"/>
          <w:szCs w:val="21"/>
        </w:rPr>
      </w:pPr>
      <w:r w:rsidRPr="00455C78">
        <w:rPr>
          <w:rFonts w:hint="eastAsia"/>
          <w:bCs/>
          <w:color w:val="000000"/>
          <w:szCs w:val="21"/>
        </w:rPr>
        <w:t>附录</w:t>
      </w:r>
      <w:r w:rsidRPr="00455C78">
        <w:rPr>
          <w:rFonts w:hint="eastAsia"/>
          <w:bCs/>
          <w:color w:val="000000"/>
          <w:szCs w:val="21"/>
        </w:rPr>
        <w:t>11</w:t>
      </w:r>
      <w:r w:rsidRPr="00455C78">
        <w:rPr>
          <w:rFonts w:hint="eastAsia"/>
          <w:bCs/>
          <w:color w:val="000000"/>
          <w:szCs w:val="21"/>
        </w:rPr>
        <w:t>：电磁波谱</w:t>
      </w:r>
    </w:p>
    <w:p w14:paraId="205C9BF8" w14:textId="21739823" w:rsidR="004831C2" w:rsidRDefault="004831C2" w:rsidP="00A5385A">
      <w:pPr>
        <w:rPr>
          <w:bCs/>
          <w:color w:val="000000"/>
          <w:szCs w:val="21"/>
        </w:rPr>
      </w:pPr>
    </w:p>
    <w:p w14:paraId="6AA0428B" w14:textId="77777777" w:rsidR="00EA00A0" w:rsidRDefault="00EA00A0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7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8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9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20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1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2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4"/>
    <w:bookmarkEnd w:id="5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5"/>
      <w:footerReference w:type="default" r:id="rId2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01E5F" w14:textId="77777777" w:rsidR="00EA3A82" w:rsidRDefault="00EA3A82">
      <w:r>
        <w:separator/>
      </w:r>
    </w:p>
  </w:endnote>
  <w:endnote w:type="continuationSeparator" w:id="0">
    <w:p w14:paraId="1805AB96" w14:textId="77777777" w:rsidR="00EA3A82" w:rsidRDefault="00EA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BCD2C" w14:textId="77777777" w:rsidR="00EA3A82" w:rsidRDefault="00EA3A82">
      <w:r>
        <w:separator/>
      </w:r>
    </w:p>
  </w:footnote>
  <w:footnote w:type="continuationSeparator" w:id="0">
    <w:p w14:paraId="644E7991" w14:textId="77777777" w:rsidR="00EA3A82" w:rsidRDefault="00EA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481AFC"/>
    <w:multiLevelType w:val="hybridMultilevel"/>
    <w:tmpl w:val="DE8AF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105A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B66A8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4E57"/>
    <w:rsid w:val="00140DCC"/>
    <w:rsid w:val="0014260B"/>
    <w:rsid w:val="001434EF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48F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4AC"/>
    <w:rsid w:val="001A75CE"/>
    <w:rsid w:val="001A7E0A"/>
    <w:rsid w:val="001B2196"/>
    <w:rsid w:val="001B460F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6838"/>
    <w:rsid w:val="001F6F9B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301C"/>
    <w:rsid w:val="00236060"/>
    <w:rsid w:val="00236B97"/>
    <w:rsid w:val="00242834"/>
    <w:rsid w:val="00243F61"/>
    <w:rsid w:val="00244604"/>
    <w:rsid w:val="00244F8F"/>
    <w:rsid w:val="00246396"/>
    <w:rsid w:val="002479DF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0183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44976"/>
    <w:rsid w:val="00351069"/>
    <w:rsid w:val="00351479"/>
    <w:rsid w:val="003514A6"/>
    <w:rsid w:val="00355E85"/>
    <w:rsid w:val="00357F6D"/>
    <w:rsid w:val="00360BFF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2729"/>
    <w:rsid w:val="003935E9"/>
    <w:rsid w:val="00393B22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A6242"/>
    <w:rsid w:val="003B16CC"/>
    <w:rsid w:val="003B3811"/>
    <w:rsid w:val="003B712C"/>
    <w:rsid w:val="003B7177"/>
    <w:rsid w:val="003C0A89"/>
    <w:rsid w:val="003C524C"/>
    <w:rsid w:val="003C714A"/>
    <w:rsid w:val="003D49B4"/>
    <w:rsid w:val="003E1932"/>
    <w:rsid w:val="003E5940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4219"/>
    <w:rsid w:val="00435906"/>
    <w:rsid w:val="0043727C"/>
    <w:rsid w:val="00442D09"/>
    <w:rsid w:val="00442F7B"/>
    <w:rsid w:val="00455C78"/>
    <w:rsid w:val="00457083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9752D"/>
    <w:rsid w:val="004A1E2E"/>
    <w:rsid w:val="004A2E5F"/>
    <w:rsid w:val="004B0B31"/>
    <w:rsid w:val="004B15AE"/>
    <w:rsid w:val="004B65C0"/>
    <w:rsid w:val="004B676E"/>
    <w:rsid w:val="004B7778"/>
    <w:rsid w:val="004C4664"/>
    <w:rsid w:val="004C5B15"/>
    <w:rsid w:val="004D3CFE"/>
    <w:rsid w:val="004D592D"/>
    <w:rsid w:val="004D5ADA"/>
    <w:rsid w:val="004E10F9"/>
    <w:rsid w:val="004E1E99"/>
    <w:rsid w:val="004E2513"/>
    <w:rsid w:val="004E32DB"/>
    <w:rsid w:val="004E4C05"/>
    <w:rsid w:val="004F1C04"/>
    <w:rsid w:val="004F1E26"/>
    <w:rsid w:val="004F23C2"/>
    <w:rsid w:val="004F3520"/>
    <w:rsid w:val="004F5C0C"/>
    <w:rsid w:val="004F6FDA"/>
    <w:rsid w:val="004F73F5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520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BC6"/>
    <w:rsid w:val="005B6F4D"/>
    <w:rsid w:val="005C244E"/>
    <w:rsid w:val="005C27DC"/>
    <w:rsid w:val="005C3F7F"/>
    <w:rsid w:val="005C6BB8"/>
    <w:rsid w:val="005D0111"/>
    <w:rsid w:val="005D167F"/>
    <w:rsid w:val="005D1AE9"/>
    <w:rsid w:val="005D2702"/>
    <w:rsid w:val="005D3FD9"/>
    <w:rsid w:val="005D4F2A"/>
    <w:rsid w:val="005D743E"/>
    <w:rsid w:val="005E0E6A"/>
    <w:rsid w:val="005E316E"/>
    <w:rsid w:val="005E31E5"/>
    <w:rsid w:val="005E479C"/>
    <w:rsid w:val="005E4C0C"/>
    <w:rsid w:val="005E56D3"/>
    <w:rsid w:val="005E6DEC"/>
    <w:rsid w:val="005E70B8"/>
    <w:rsid w:val="005F146D"/>
    <w:rsid w:val="005F163E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2642"/>
    <w:rsid w:val="00644A66"/>
    <w:rsid w:val="0064689C"/>
    <w:rsid w:val="00647494"/>
    <w:rsid w:val="00651071"/>
    <w:rsid w:val="00654E17"/>
    <w:rsid w:val="00655F79"/>
    <w:rsid w:val="00655FA9"/>
    <w:rsid w:val="00657F70"/>
    <w:rsid w:val="006656BA"/>
    <w:rsid w:val="006657BA"/>
    <w:rsid w:val="00665C42"/>
    <w:rsid w:val="00667A77"/>
    <w:rsid w:val="00667C85"/>
    <w:rsid w:val="00671F5D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54"/>
    <w:rsid w:val="006B6CAB"/>
    <w:rsid w:val="006C25D4"/>
    <w:rsid w:val="006C53DC"/>
    <w:rsid w:val="006C7035"/>
    <w:rsid w:val="006D07D7"/>
    <w:rsid w:val="006D1088"/>
    <w:rsid w:val="006D15FA"/>
    <w:rsid w:val="006D37ED"/>
    <w:rsid w:val="006D4FC0"/>
    <w:rsid w:val="006E2E2E"/>
    <w:rsid w:val="006E34B6"/>
    <w:rsid w:val="006E7473"/>
    <w:rsid w:val="006E776B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3E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1B9B"/>
    <w:rsid w:val="00792AB2"/>
    <w:rsid w:val="007962CA"/>
    <w:rsid w:val="007969E3"/>
    <w:rsid w:val="00797092"/>
    <w:rsid w:val="007A0BCE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48B"/>
    <w:rsid w:val="007B4600"/>
    <w:rsid w:val="007B5222"/>
    <w:rsid w:val="007B6993"/>
    <w:rsid w:val="007C2F39"/>
    <w:rsid w:val="007C3170"/>
    <w:rsid w:val="007C4A0E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09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0539"/>
    <w:rsid w:val="00811253"/>
    <w:rsid w:val="008129CA"/>
    <w:rsid w:val="00813426"/>
    <w:rsid w:val="00815DCE"/>
    <w:rsid w:val="00816558"/>
    <w:rsid w:val="008167E8"/>
    <w:rsid w:val="00817C6D"/>
    <w:rsid w:val="00820522"/>
    <w:rsid w:val="00821900"/>
    <w:rsid w:val="00824FC6"/>
    <w:rsid w:val="008265DF"/>
    <w:rsid w:val="00830D52"/>
    <w:rsid w:val="00833886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5EE7"/>
    <w:rsid w:val="00886092"/>
    <w:rsid w:val="0088695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0CDC"/>
    <w:rsid w:val="008C2DD2"/>
    <w:rsid w:val="008C48B7"/>
    <w:rsid w:val="008C4BCC"/>
    <w:rsid w:val="008C6808"/>
    <w:rsid w:val="008D069E"/>
    <w:rsid w:val="008D07F2"/>
    <w:rsid w:val="008D278C"/>
    <w:rsid w:val="008D4F84"/>
    <w:rsid w:val="008D5AEC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719"/>
    <w:rsid w:val="00943659"/>
    <w:rsid w:val="00944112"/>
    <w:rsid w:val="0095006E"/>
    <w:rsid w:val="00950A04"/>
    <w:rsid w:val="00951728"/>
    <w:rsid w:val="009534B9"/>
    <w:rsid w:val="0095366B"/>
    <w:rsid w:val="00953C63"/>
    <w:rsid w:val="009544B0"/>
    <w:rsid w:val="00954BBF"/>
    <w:rsid w:val="00955E13"/>
    <w:rsid w:val="0095633F"/>
    <w:rsid w:val="0095747D"/>
    <w:rsid w:val="009603CA"/>
    <w:rsid w:val="00961893"/>
    <w:rsid w:val="00961B95"/>
    <w:rsid w:val="00965979"/>
    <w:rsid w:val="009722EA"/>
    <w:rsid w:val="009736A9"/>
    <w:rsid w:val="00973993"/>
    <w:rsid w:val="00973D95"/>
    <w:rsid w:val="00973E1A"/>
    <w:rsid w:val="00975626"/>
    <w:rsid w:val="0097723B"/>
    <w:rsid w:val="009805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3AFF"/>
    <w:rsid w:val="00A05112"/>
    <w:rsid w:val="00A05507"/>
    <w:rsid w:val="00A10F0C"/>
    <w:rsid w:val="00A1225E"/>
    <w:rsid w:val="00A12C70"/>
    <w:rsid w:val="00A13476"/>
    <w:rsid w:val="00A14DF2"/>
    <w:rsid w:val="00A169E6"/>
    <w:rsid w:val="00A1739E"/>
    <w:rsid w:val="00A2587A"/>
    <w:rsid w:val="00A275B9"/>
    <w:rsid w:val="00A30A75"/>
    <w:rsid w:val="00A31124"/>
    <w:rsid w:val="00A315D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5C65"/>
    <w:rsid w:val="00AC6720"/>
    <w:rsid w:val="00AC7610"/>
    <w:rsid w:val="00AD1193"/>
    <w:rsid w:val="00AD23A3"/>
    <w:rsid w:val="00AD5C6C"/>
    <w:rsid w:val="00AD60AE"/>
    <w:rsid w:val="00AD6A2B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39D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336"/>
    <w:rsid w:val="00B5540C"/>
    <w:rsid w:val="00B5587F"/>
    <w:rsid w:val="00B61F1E"/>
    <w:rsid w:val="00B62889"/>
    <w:rsid w:val="00B62C5A"/>
    <w:rsid w:val="00B63D45"/>
    <w:rsid w:val="00B648F3"/>
    <w:rsid w:val="00B6616C"/>
    <w:rsid w:val="00B66323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168"/>
    <w:rsid w:val="00C5650D"/>
    <w:rsid w:val="00C66F72"/>
    <w:rsid w:val="00C71CE9"/>
    <w:rsid w:val="00C71DBF"/>
    <w:rsid w:val="00C73AFB"/>
    <w:rsid w:val="00C73E8B"/>
    <w:rsid w:val="00C77924"/>
    <w:rsid w:val="00C80721"/>
    <w:rsid w:val="00C80BF1"/>
    <w:rsid w:val="00C82D73"/>
    <w:rsid w:val="00C835AD"/>
    <w:rsid w:val="00C84A47"/>
    <w:rsid w:val="00C9021F"/>
    <w:rsid w:val="00C9198D"/>
    <w:rsid w:val="00CA00E6"/>
    <w:rsid w:val="00CA032E"/>
    <w:rsid w:val="00CA0DE9"/>
    <w:rsid w:val="00CA1DDF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C7EF5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500BB"/>
    <w:rsid w:val="00D5176B"/>
    <w:rsid w:val="00D529E7"/>
    <w:rsid w:val="00D534CA"/>
    <w:rsid w:val="00D53FA4"/>
    <w:rsid w:val="00D54095"/>
    <w:rsid w:val="00D55598"/>
    <w:rsid w:val="00D55CF3"/>
    <w:rsid w:val="00D56A6F"/>
    <w:rsid w:val="00D56DBD"/>
    <w:rsid w:val="00D63010"/>
    <w:rsid w:val="00D64EE2"/>
    <w:rsid w:val="00D65331"/>
    <w:rsid w:val="00D65D2C"/>
    <w:rsid w:val="00D67430"/>
    <w:rsid w:val="00D704D6"/>
    <w:rsid w:val="00D709E9"/>
    <w:rsid w:val="00D70F0C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A650C"/>
    <w:rsid w:val="00DB0A2B"/>
    <w:rsid w:val="00DB0F4D"/>
    <w:rsid w:val="00DB3297"/>
    <w:rsid w:val="00DB4B1F"/>
    <w:rsid w:val="00DB6D5C"/>
    <w:rsid w:val="00DB7750"/>
    <w:rsid w:val="00DB7D8F"/>
    <w:rsid w:val="00DD094B"/>
    <w:rsid w:val="00DD1BED"/>
    <w:rsid w:val="00DD4F03"/>
    <w:rsid w:val="00DD5A12"/>
    <w:rsid w:val="00DD65DE"/>
    <w:rsid w:val="00DD7853"/>
    <w:rsid w:val="00DE00B4"/>
    <w:rsid w:val="00DE34D0"/>
    <w:rsid w:val="00DE74B1"/>
    <w:rsid w:val="00DF0BB7"/>
    <w:rsid w:val="00DF26CC"/>
    <w:rsid w:val="00DF3EA5"/>
    <w:rsid w:val="00E00CC0"/>
    <w:rsid w:val="00E05792"/>
    <w:rsid w:val="00E062B7"/>
    <w:rsid w:val="00E06978"/>
    <w:rsid w:val="00E13295"/>
    <w:rsid w:val="00E132E9"/>
    <w:rsid w:val="00E13770"/>
    <w:rsid w:val="00E15659"/>
    <w:rsid w:val="00E16E31"/>
    <w:rsid w:val="00E173A9"/>
    <w:rsid w:val="00E24CE9"/>
    <w:rsid w:val="00E30E6F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876D3"/>
    <w:rsid w:val="00E905D5"/>
    <w:rsid w:val="00E92AEB"/>
    <w:rsid w:val="00E92DB2"/>
    <w:rsid w:val="00E94F29"/>
    <w:rsid w:val="00EA00A0"/>
    <w:rsid w:val="00EA231C"/>
    <w:rsid w:val="00EA3A82"/>
    <w:rsid w:val="00EA643B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4AA9"/>
    <w:rsid w:val="00ED600D"/>
    <w:rsid w:val="00ED7F30"/>
    <w:rsid w:val="00EE446C"/>
    <w:rsid w:val="00EE4676"/>
    <w:rsid w:val="00EF60DB"/>
    <w:rsid w:val="00F033EC"/>
    <w:rsid w:val="00F0464D"/>
    <w:rsid w:val="00F10EBE"/>
    <w:rsid w:val="00F11D3A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3E67"/>
    <w:rsid w:val="00F4494B"/>
    <w:rsid w:val="00F4621E"/>
    <w:rsid w:val="00F466C2"/>
    <w:rsid w:val="00F46744"/>
    <w:rsid w:val="00F5113F"/>
    <w:rsid w:val="00F54836"/>
    <w:rsid w:val="00F55047"/>
    <w:rsid w:val="00F57001"/>
    <w:rsid w:val="00F578E8"/>
    <w:rsid w:val="00F57900"/>
    <w:rsid w:val="00F6162F"/>
    <w:rsid w:val="00F6397F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00"/>
    <w:rsid w:val="00FE62E9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urnberg.com.cn/video/video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Rights@nurnberg.com.c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nurnberg.com.cn/book/book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weibo.com/1877653117/profile?topnav=1&amp;wvr=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nurnberg.com.cn/booklist_zh/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site.douban.com/110577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2A98-C501-4A04-9DE7-21A52768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2203</Words>
  <Characters>2666</Characters>
  <Application>Microsoft Office Word</Application>
  <DocSecurity>0</DocSecurity>
  <Lines>126</Lines>
  <Paragraphs>115</Paragraphs>
  <ScaleCrop>false</ScaleCrop>
  <Company>2ndSpAcE</Company>
  <LinksUpToDate>false</LinksUpToDate>
  <CharactersWithSpaces>4754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238</cp:revision>
  <cp:lastPrinted>2005-06-10T06:33:00Z</cp:lastPrinted>
  <dcterms:created xsi:type="dcterms:W3CDTF">2024-11-28T07:09:00Z</dcterms:created>
  <dcterms:modified xsi:type="dcterms:W3CDTF">2026-07-17T06:28:00Z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