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3947795</wp:posOffset>
            </wp:positionH>
            <wp:positionV relativeFrom="paragraph">
              <wp:posOffset>108585</wp:posOffset>
            </wp:positionV>
            <wp:extent cx="1392555" cy="1952625"/>
            <wp:effectExtent l="0" t="0" r="9525" b="13335"/>
            <wp:wrapSquare wrapText="bothSides"/>
            <wp:docPr id="1" name="图片 39" descr="C:/Users/lenovo/Desktop/屏幕截图 2026-07-18 143341.png屏幕截图 2026-07-18 14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7-18 143341.png屏幕截图 2026-07-18 143341"/>
                    <pic:cNvPicPr>
                      <a:picLocks noChangeAspect="1"/>
                    </pic:cNvPicPr>
                  </pic:nvPicPr>
                  <pic:blipFill>
                    <a:blip r:embed="rId6"/>
                    <a:srcRect t="1399" b="1399"/>
                    <a:stretch>
                      <a:fillRect/>
                    </a:stretch>
                  </pic:blipFill>
                  <pic:spPr>
                    <a:xfrm>
                      <a:off x="0" y="0"/>
                      <a:ext cx="139255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《文化罗盘：驰骋职场，守住自我》</w:t>
      </w:r>
    </w:p>
    <w:p w14:paraId="139DC89A">
      <w:pPr>
        <w:tabs>
          <w:tab w:val="left" w:pos="341"/>
          <w:tab w:val="left" w:pos="5235"/>
        </w:tabs>
        <w:jc w:val="left"/>
        <w:rPr>
          <w:rFonts w:hint="eastAsia"/>
          <w:b/>
          <w:bCs/>
          <w:i/>
          <w:iCs w:val="0"/>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 Culture Compass</w:t>
      </w:r>
      <w:r>
        <w:rPr>
          <w:rFonts w:hint="eastAsia"/>
          <w:b/>
          <w:bCs/>
          <w:i/>
          <w:iCs w:val="0"/>
          <w:color w:val="000000"/>
          <w:szCs w:val="21"/>
          <w:highlight w:val="none"/>
          <w:lang w:val="en-US" w:eastAsia="zh-CN"/>
        </w:rPr>
        <w:t>:</w:t>
      </w:r>
      <w:r>
        <w:rPr>
          <w:rFonts w:hint="eastAsia"/>
          <w:b/>
          <w:bCs/>
          <w:i/>
          <w:iCs w:val="0"/>
          <w:color w:val="000000"/>
          <w:szCs w:val="21"/>
          <w:highlight w:val="none"/>
        </w:rPr>
        <w:t xml:space="preserve"> Navigate the Corporate World Without Losing Yourself</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Arturo Nunez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Simon &amp; Schuster</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288页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10月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default" w:eastAsia="宋体"/>
          <w:b/>
          <w:bCs/>
          <w:szCs w:val="21"/>
          <w:highlight w:val="none"/>
          <w:lang w:val="en-US" w:eastAsia="zh-CN"/>
        </w:rPr>
      </w:pPr>
      <w:r>
        <w:rPr>
          <w:b/>
          <w:bCs/>
          <w:szCs w:val="21"/>
          <w:highlight w:val="none"/>
        </w:rPr>
        <w:t>审读资料</w:t>
      </w:r>
      <w:r>
        <w:rPr>
          <w:rFonts w:hint="eastAsia"/>
          <w:b/>
          <w:bCs/>
          <w:szCs w:val="21"/>
          <w:highlight w:val="none"/>
          <w:lang w:eastAsia="zh-CN"/>
        </w:rPr>
        <w:t>：</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职场励志</w:t>
      </w:r>
    </w:p>
    <w:p w14:paraId="4543D873">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366C9FFC">
      <w:pPr>
        <w:ind w:firstLine="420" w:firstLineChars="200"/>
        <w:rPr>
          <w:rFonts w:hint="eastAsia"/>
          <w:bCs/>
          <w:kern w:val="0"/>
          <w:szCs w:val="21"/>
        </w:rPr>
      </w:pPr>
      <w:r>
        <w:rPr>
          <w:rFonts w:hint="eastAsia"/>
          <w:bCs/>
          <w:kern w:val="0"/>
          <w:szCs w:val="21"/>
        </w:rPr>
        <w:t>献给《管理者的成长》和《敢于领导</w:t>
      </w:r>
      <w:r>
        <w:rPr>
          <w:rFonts w:hint="eastAsia"/>
          <w:bCs/>
          <w:kern w:val="0"/>
          <w:szCs w:val="21"/>
          <w:lang w:val="en-US" w:eastAsia="zh-CN"/>
        </w:rPr>
        <w:t>力</w:t>
      </w:r>
      <w:r>
        <w:rPr>
          <w:rFonts w:hint="eastAsia"/>
          <w:bCs/>
          <w:kern w:val="0"/>
          <w:szCs w:val="21"/>
        </w:rPr>
        <w:t>》的读者，一位美国最具活力的创意高管之一提出的大胆领导力哲学——为何在职场成功的秘诀在于忠于自我。</w:t>
      </w:r>
    </w:p>
    <w:p w14:paraId="047A423E">
      <w:pPr>
        <w:ind w:firstLine="420" w:firstLineChars="200"/>
        <w:rPr>
          <w:rFonts w:hint="eastAsia"/>
          <w:bCs/>
          <w:kern w:val="0"/>
          <w:szCs w:val="21"/>
        </w:rPr>
      </w:pPr>
    </w:p>
    <w:p w14:paraId="0BCA4D47">
      <w:pPr>
        <w:ind w:firstLine="420" w:firstLineChars="200"/>
        <w:rPr>
          <w:rFonts w:hint="eastAsia"/>
          <w:bCs/>
          <w:kern w:val="0"/>
          <w:szCs w:val="21"/>
        </w:rPr>
      </w:pPr>
      <w:r>
        <w:rPr>
          <w:rFonts w:hint="eastAsia"/>
          <w:bCs/>
          <w:kern w:val="0"/>
          <w:szCs w:val="21"/>
        </w:rPr>
        <w:t>数代以来，在美国企业界取得成功都伴随着一种不言而喻的</w:t>
      </w:r>
      <w:bookmarkStart w:id="1" w:name="_GoBack"/>
      <w:bookmarkEnd w:id="1"/>
      <w:r>
        <w:rPr>
          <w:rFonts w:hint="eastAsia"/>
          <w:bCs/>
          <w:kern w:val="0"/>
          <w:szCs w:val="21"/>
        </w:rPr>
        <w:t>期望：适应、同化，并舍弃一部分自我。不是一次全部舍弃，而是逐渐地，日积月累，以至于你再也记不清自己曾妥协过什么。许多人通过语码转换和情感分割来学习在这样的环境中生存，虽然能在这个体系中高效运作，却与自己失去了联系。</w:t>
      </w:r>
    </w:p>
    <w:p w14:paraId="288A0101">
      <w:pPr>
        <w:ind w:firstLine="420" w:firstLineChars="200"/>
        <w:rPr>
          <w:rFonts w:hint="eastAsia"/>
          <w:bCs/>
          <w:kern w:val="0"/>
          <w:szCs w:val="21"/>
        </w:rPr>
      </w:pPr>
    </w:p>
    <w:p w14:paraId="39D8A234">
      <w:pPr>
        <w:ind w:firstLine="420" w:firstLineChars="200"/>
        <w:rPr>
          <w:rFonts w:hint="eastAsia"/>
          <w:bCs/>
          <w:kern w:val="0"/>
          <w:szCs w:val="21"/>
        </w:rPr>
      </w:pPr>
      <w:r>
        <w:rPr>
          <w:rFonts w:hint="eastAsia"/>
          <w:bCs/>
          <w:kern w:val="0"/>
          <w:szCs w:val="21"/>
        </w:rPr>
        <w:t>《文化罗盘》提供了一条不同的道路。</w:t>
      </w:r>
    </w:p>
    <w:p w14:paraId="62AF33F3">
      <w:pPr>
        <w:ind w:firstLine="420" w:firstLineChars="200"/>
        <w:rPr>
          <w:rFonts w:hint="eastAsia"/>
          <w:bCs/>
          <w:kern w:val="0"/>
          <w:szCs w:val="21"/>
        </w:rPr>
      </w:pPr>
    </w:p>
    <w:p w14:paraId="06CC76BD">
      <w:pPr>
        <w:ind w:firstLine="420" w:firstLineChars="200"/>
        <w:rPr>
          <w:rFonts w:hint="eastAsia"/>
          <w:bCs/>
          <w:kern w:val="0"/>
          <w:szCs w:val="21"/>
        </w:rPr>
      </w:pPr>
      <w:r>
        <w:rPr>
          <w:rFonts w:hint="eastAsia"/>
          <w:bCs/>
          <w:kern w:val="0"/>
          <w:szCs w:val="21"/>
        </w:rPr>
        <w:t>阿图罗·努涅斯借鉴了他三十多年来在全球最具影响力的组织内部工作的经验，提出了一个框架，帮助人们以清晰和自信的方式在美国企业界航行，同时保持与自身身份的连接。他提供了切实可行的技能和实践，使企业领导力上的这种转变成为可持续的。这不是要拒绝体系——而是要看清它，理解权力如何运作，董事会如何运转，决策如何做出。一旦你看清了，你行动的方式就会不同。不是更大声，不是更微弱，而是更精准。</w:t>
      </w:r>
    </w:p>
    <w:p w14:paraId="3C34FC96">
      <w:pPr>
        <w:ind w:firstLine="420" w:firstLineChars="200"/>
        <w:rPr>
          <w:rFonts w:hint="eastAsia"/>
          <w:bCs/>
          <w:kern w:val="0"/>
          <w:szCs w:val="21"/>
        </w:rPr>
      </w:pPr>
    </w:p>
    <w:p w14:paraId="38E50CAE">
      <w:pPr>
        <w:ind w:firstLine="420" w:firstLineChars="200"/>
        <w:rPr>
          <w:rFonts w:hint="eastAsia"/>
          <w:bCs/>
          <w:kern w:val="0"/>
          <w:szCs w:val="21"/>
        </w:rPr>
      </w:pPr>
      <w:r>
        <w:rPr>
          <w:rFonts w:hint="eastAsia"/>
          <w:bCs/>
          <w:kern w:val="0"/>
          <w:szCs w:val="21"/>
        </w:rPr>
        <w:t>《文化罗盘》引人入胜且细致入微，为晋升高管层提供了必要的工具，并改写了“你必须在成功和做自己之间做出选择”的叙事。因为让你与众不同的那些特质不是负担，而是你的优势。你不必在选择胜利和做自己之间二选一。你不必为了成功而自我压缩。你不必为了领导而舍弃一部分自我。你只需要知道如何前行。</w:t>
      </w:r>
    </w:p>
    <w:p w14:paraId="0230E694">
      <w:pPr>
        <w:ind w:firstLine="420" w:firstLineChars="200"/>
        <w:rPr>
          <w:rFonts w:hint="eastAsia"/>
          <w:bCs/>
          <w:kern w:val="0"/>
          <w:szCs w:val="21"/>
          <w:lang w:val="en-US" w:eastAsia="zh-CN"/>
        </w:rPr>
      </w:pPr>
    </w:p>
    <w:p w14:paraId="3BBDFC5B">
      <w:pPr>
        <w:rPr>
          <w:b/>
          <w:color w:val="000000"/>
          <w:szCs w:val="21"/>
        </w:rPr>
      </w:pPr>
    </w:p>
    <w:p w14:paraId="26F8FA9F">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05F78B89">
      <w:pPr>
        <w:ind w:right="420" w:firstLine="422" w:firstLineChars="200"/>
        <w:jc w:val="both"/>
        <w:rPr>
          <w:rFonts w:hint="eastAsia"/>
          <w:b/>
          <w:bCs/>
          <w:color w:val="000000"/>
          <w:szCs w:val="21"/>
          <w:lang w:val="en-US" w:eastAsia="zh-CN"/>
        </w:rPr>
      </w:pPr>
      <w:r>
        <w:rPr>
          <w:rFonts w:hint="eastAsia"/>
          <w:b/>
          <w:bCs/>
          <w:color w:val="000000"/>
          <w:szCs w:val="21"/>
          <w:lang w:val="en-US" w:eastAsia="zh-CN"/>
        </w:rPr>
        <w:t>阿图罗·努涅斯（</w:t>
      </w:r>
      <w:r>
        <w:rPr>
          <w:rFonts w:hint="eastAsia"/>
          <w:b/>
          <w:bCs/>
          <w:color w:val="000000"/>
          <w:szCs w:val="21"/>
          <w:highlight w:val="none"/>
        </w:rPr>
        <w:t>Arturo Nunez</w:t>
      </w:r>
      <w:r>
        <w:rPr>
          <w:rFonts w:hint="eastAsia"/>
          <w:b/>
          <w:bCs/>
          <w:color w:val="000000"/>
          <w:szCs w:val="21"/>
          <w:lang w:val="en-US" w:eastAsia="zh-CN"/>
        </w:rPr>
        <w:t>）</w:t>
      </w:r>
      <w:r>
        <w:rPr>
          <w:rFonts w:hint="eastAsia"/>
          <w:b w:val="0"/>
          <w:bCs w:val="0"/>
          <w:color w:val="000000"/>
          <w:szCs w:val="21"/>
          <w:lang w:val="en-US" w:eastAsia="zh-CN"/>
        </w:rPr>
        <w:t>是一位经验丰富的高管、企业家和品牌策略师，拥有数十年的经验，曾帮助打造世界上一些最具影响力的品牌，包括苹果、耐克、百事可乐、NBA和Nubank。他是AIE Creative的创始人兼首席执行官，为各公司提供领导力、品牌建设和打造具有竞争优势的企业文化方面的咨询。他担任雅诗兰黛公司和Abercrombie &amp; Fitch Co.的董事会成员。此前，他曾担任Nubank的首席营销官和苹果公司拉丁美洲市场负责人。在其职业生涯早期，他曾在耐克和NBA担任高级领导职务。努涅斯通晓多种语言，共同创办了Black Joy Thrive的黑人男性静修营，并担任反累犯联盟和Nyah项目的董事会成员，近期被广告周评为拉丁美洲最具影响力的营销领袖之一。</w:t>
      </w:r>
    </w:p>
    <w:p w14:paraId="2014715A">
      <w:pPr>
        <w:ind w:right="420"/>
        <w:jc w:val="left"/>
        <w:rPr>
          <w:rFonts w:hint="eastAsia"/>
          <w:b/>
          <w:bCs/>
          <w:color w:val="000000"/>
          <w:szCs w:val="21"/>
          <w:lang w:val="en-US" w:eastAsia="zh-CN"/>
        </w:rPr>
      </w:pPr>
    </w:p>
    <w:p w14:paraId="1A04692A">
      <w:pPr>
        <w:ind w:right="420"/>
        <w:jc w:val="left"/>
        <w:rPr>
          <w:rFonts w:hint="eastAsia"/>
          <w:b/>
          <w:bCs/>
          <w:color w:val="000000"/>
          <w:szCs w:val="21"/>
          <w:lang w:val="en-US" w:eastAsia="zh-CN"/>
        </w:rPr>
      </w:pPr>
    </w:p>
    <w:p w14:paraId="5C0E589B">
      <w:pPr>
        <w:ind w:right="420"/>
        <w:jc w:val="center"/>
        <w:rPr>
          <w:rFonts w:hint="eastAsia"/>
          <w:b/>
          <w:bCs/>
          <w:color w:val="000000"/>
          <w:szCs w:val="21"/>
          <w:lang w:val="en-US" w:eastAsia="zh-CN"/>
        </w:rPr>
      </w:pPr>
      <w:r>
        <w:rPr>
          <w:rFonts w:hint="eastAsia"/>
          <w:b/>
          <w:bCs/>
          <w:color w:val="000000"/>
          <w:szCs w:val="21"/>
          <w:lang w:val="en-US" w:eastAsia="zh-CN"/>
        </w:rPr>
        <w:t>全书目录：</w:t>
      </w:r>
    </w:p>
    <w:p w14:paraId="6A40CA59">
      <w:pPr>
        <w:ind w:right="420"/>
        <w:jc w:val="center"/>
        <w:rPr>
          <w:rFonts w:hint="eastAsia"/>
          <w:b w:val="0"/>
          <w:bCs w:val="0"/>
          <w:color w:val="000000"/>
          <w:szCs w:val="21"/>
          <w:lang w:val="en-US" w:eastAsia="zh-CN"/>
        </w:rPr>
      </w:pPr>
    </w:p>
    <w:p w14:paraId="7E392FC7">
      <w:pPr>
        <w:ind w:right="420"/>
        <w:jc w:val="center"/>
        <w:rPr>
          <w:rFonts w:hint="default"/>
          <w:b w:val="0"/>
          <w:bCs w:val="0"/>
          <w:color w:val="000000"/>
          <w:szCs w:val="21"/>
          <w:lang w:val="en-US" w:eastAsia="zh-CN"/>
        </w:rPr>
      </w:pPr>
      <w:r>
        <w:rPr>
          <w:rFonts w:hint="default"/>
          <w:b w:val="0"/>
          <w:bCs w:val="0"/>
          <w:color w:val="000000"/>
          <w:szCs w:val="21"/>
          <w:lang w:val="en-US" w:eastAsia="zh-CN"/>
        </w:rPr>
        <w:t>序言：站在巨人的肩膀上</w:t>
      </w:r>
    </w:p>
    <w:p w14:paraId="105C8195">
      <w:pPr>
        <w:ind w:right="420"/>
        <w:jc w:val="center"/>
        <w:rPr>
          <w:rFonts w:hint="default"/>
          <w:b w:val="0"/>
          <w:bCs w:val="0"/>
          <w:color w:val="000000"/>
          <w:szCs w:val="21"/>
          <w:lang w:val="en-US" w:eastAsia="zh-CN"/>
        </w:rPr>
      </w:pPr>
      <w:r>
        <w:rPr>
          <w:rFonts w:hint="default"/>
          <w:b w:val="0"/>
          <w:bCs w:val="0"/>
          <w:color w:val="000000"/>
          <w:szCs w:val="21"/>
          <w:lang w:val="en-US" w:eastAsia="zh-CN"/>
        </w:rPr>
        <w:t>导言：高管办公室</w:t>
      </w:r>
    </w:p>
    <w:p w14:paraId="4FBFD958">
      <w:pPr>
        <w:ind w:right="420"/>
        <w:jc w:val="center"/>
        <w:rPr>
          <w:rFonts w:hint="default"/>
          <w:b w:val="0"/>
          <w:bCs w:val="0"/>
          <w:color w:val="000000"/>
          <w:szCs w:val="21"/>
          <w:lang w:val="en-US" w:eastAsia="zh-CN"/>
        </w:rPr>
      </w:pPr>
      <w:r>
        <w:rPr>
          <w:rFonts w:hint="default"/>
          <w:b w:val="0"/>
          <w:bCs w:val="0"/>
          <w:color w:val="000000"/>
          <w:szCs w:val="21"/>
          <w:lang w:val="en-US" w:eastAsia="zh-CN"/>
        </w:rPr>
        <w:t>要么找到路，要么开条路</w:t>
      </w:r>
    </w:p>
    <w:p w14:paraId="19D7A62B">
      <w:pPr>
        <w:ind w:right="420"/>
        <w:jc w:val="center"/>
        <w:rPr>
          <w:rFonts w:hint="default"/>
          <w:b w:val="0"/>
          <w:bCs w:val="0"/>
          <w:color w:val="000000"/>
          <w:szCs w:val="21"/>
          <w:lang w:val="en-US" w:eastAsia="zh-CN"/>
        </w:rPr>
      </w:pPr>
    </w:p>
    <w:p w14:paraId="1EA6520D">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目的地：明确知道自己想去哪里</w:t>
      </w:r>
    </w:p>
    <w:p w14:paraId="1432D6F1">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传送我：最大化利用你的年度绩效评估</w:t>
      </w:r>
    </w:p>
    <w:p w14:paraId="2219B366">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以风格领导：仔细分析你打算如何以及在何处领导他人</w:t>
      </w:r>
    </w:p>
    <w:p w14:paraId="1CC58C9C">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全力以赴：找到持续贡献价值的方法</w:t>
      </w:r>
    </w:p>
    <w:p w14:paraId="16CFAF23">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好伙伴：在途中培养高质量的人际关系</w:t>
      </w:r>
    </w:p>
    <w:p w14:paraId="215F0550">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追随足迹：密切关注那些展现卓越的人</w:t>
      </w:r>
    </w:p>
    <w:p w14:paraId="69AA1A1B">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说行话：掌握企业用语将带你走得更远</w:t>
      </w:r>
    </w:p>
    <w:p w14:paraId="7D542CCF">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展示即一切：展现和证明——然后放下麦克风</w:t>
      </w:r>
    </w:p>
    <w:p w14:paraId="210D97CC">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细品，别绊倒：下班后的社交是获得晋升的关键</w:t>
      </w:r>
    </w:p>
    <w:p w14:paraId="712A0946">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在行动中：如何更快、更频繁地获得晋升</w:t>
      </w:r>
    </w:p>
    <w:p w14:paraId="21BD72A2">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哪条路向上？：拥抱不确定性和信念</w:t>
      </w:r>
    </w:p>
    <w:p w14:paraId="0991FDDE">
      <w:pPr>
        <w:numPr>
          <w:ilvl w:val="0"/>
          <w:numId w:val="2"/>
        </w:numPr>
        <w:ind w:left="425" w:leftChars="0" w:right="420" w:hanging="425" w:firstLineChars="0"/>
        <w:jc w:val="center"/>
        <w:rPr>
          <w:rFonts w:hint="default"/>
          <w:b w:val="0"/>
          <w:bCs w:val="0"/>
          <w:color w:val="000000"/>
          <w:szCs w:val="21"/>
          <w:lang w:val="en-US" w:eastAsia="zh-CN"/>
        </w:rPr>
      </w:pPr>
      <w:r>
        <w:rPr>
          <w:rFonts w:hint="default"/>
          <w:b w:val="0"/>
          <w:bCs w:val="0"/>
          <w:color w:val="000000"/>
          <w:szCs w:val="21"/>
          <w:lang w:val="en-US" w:eastAsia="zh-CN"/>
        </w:rPr>
        <w:t>下棋，而非跳棋：领导下一代</w:t>
      </w:r>
    </w:p>
    <w:p w14:paraId="4BC4529A">
      <w:pPr>
        <w:ind w:right="420"/>
        <w:jc w:val="center"/>
        <w:rPr>
          <w:rFonts w:hint="default"/>
          <w:b w:val="0"/>
          <w:bCs w:val="0"/>
          <w:color w:val="000000"/>
          <w:szCs w:val="21"/>
          <w:lang w:val="en-US" w:eastAsia="zh-CN"/>
        </w:rPr>
      </w:pPr>
    </w:p>
    <w:p w14:paraId="41750F3D">
      <w:pPr>
        <w:ind w:right="420"/>
        <w:jc w:val="center"/>
        <w:rPr>
          <w:rFonts w:hint="default"/>
          <w:b w:val="0"/>
          <w:bCs w:val="0"/>
          <w:color w:val="000000"/>
          <w:szCs w:val="21"/>
          <w:lang w:val="en-US" w:eastAsia="zh-CN"/>
        </w:rPr>
      </w:pPr>
      <w:r>
        <w:rPr>
          <w:rFonts w:hint="default"/>
          <w:b w:val="0"/>
          <w:bCs w:val="0"/>
          <w:color w:val="000000"/>
          <w:szCs w:val="21"/>
          <w:lang w:val="en-US" w:eastAsia="zh-CN"/>
        </w:rPr>
        <w:t>致谢</w:t>
      </w:r>
    </w:p>
    <w:p w14:paraId="7F3E6673">
      <w:pPr>
        <w:ind w:right="420"/>
        <w:jc w:val="center"/>
        <w:rPr>
          <w:rFonts w:hint="default"/>
          <w:b w:val="0"/>
          <w:bCs w:val="0"/>
          <w:color w:val="000000"/>
          <w:szCs w:val="21"/>
          <w:lang w:val="en-US" w:eastAsia="zh-CN"/>
        </w:rPr>
      </w:pPr>
      <w:r>
        <w:rPr>
          <w:rFonts w:hint="default"/>
          <w:b w:val="0"/>
          <w:bCs w:val="0"/>
          <w:color w:val="000000"/>
          <w:szCs w:val="21"/>
          <w:lang w:val="en-US" w:eastAsia="zh-CN"/>
        </w:rPr>
        <w:t>参考文献</w:t>
      </w:r>
    </w:p>
    <w:p w14:paraId="7C0A9262">
      <w:pPr>
        <w:ind w:right="420"/>
        <w:jc w:val="left"/>
        <w:rPr>
          <w:rFonts w:hint="default"/>
          <w:b w:val="0"/>
          <w:bCs w:val="0"/>
          <w:color w:val="000000"/>
          <w:szCs w:val="21"/>
          <w:lang w:val="en-US" w:eastAsia="zh-CN"/>
        </w:rPr>
      </w:pPr>
    </w:p>
    <w:p w14:paraId="058AC69D">
      <w:pPr>
        <w:ind w:right="420"/>
        <w:jc w:val="left"/>
        <w:rPr>
          <w:rFonts w:hint="default"/>
          <w:b w:val="0"/>
          <w:bCs w:val="0"/>
          <w:color w:val="000000"/>
          <w:szCs w:val="21"/>
          <w:lang w:val="en-US" w:eastAsia="zh-CN"/>
        </w:rPr>
      </w:pPr>
    </w:p>
    <w:p w14:paraId="537E44E7">
      <w:pPr>
        <w:shd w:val="clear" w:color="auto" w:fill="FFFFFF"/>
        <w:rPr>
          <w:rFonts w:hint="eastAsia" w:ascii="Arial Unicode MS" w:hAnsi="Arial Unicode MS" w:cs="Verdana"/>
          <w:b/>
          <w:bCs/>
          <w:color w:val="000000"/>
        </w:rPr>
      </w:pPr>
    </w:p>
    <w:p w14:paraId="44B61D24">
      <w:pPr>
        <w:shd w:val="clear" w:color="auto" w:fill="FFFFFF"/>
        <w:rPr>
          <w:rFonts w:hint="eastAsia" w:ascii="Arial Unicode MS" w:hAnsi="Arial Unicode MS" w:cs="Verdana"/>
          <w:b/>
          <w:bCs/>
          <w:color w:val="000000"/>
        </w:rPr>
      </w:pPr>
    </w:p>
    <w:p w14:paraId="5533814B">
      <w:pPr>
        <w:shd w:val="clear" w:color="auto" w:fill="FFFFFF"/>
        <w:rPr>
          <w:rFonts w:hint="eastAsia" w:ascii="Arial Unicode MS" w:hAnsi="Arial Unicode MS" w:cs="Verdana"/>
          <w:b/>
          <w:bCs/>
          <w:color w:val="000000"/>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0CC93"/>
    <w:multiLevelType w:val="singleLevel"/>
    <w:tmpl w:val="3CA0CC93"/>
    <w:lvl w:ilvl="0" w:tentative="0">
      <w:start w:val="1"/>
      <w:numFmt w:val="decimal"/>
      <w:lvlText w:val="%1."/>
      <w:lvlJc w:val="left"/>
      <w:pPr>
        <w:ind w:left="425" w:hanging="425"/>
      </w:pPr>
      <w:rPr>
        <w:rFonts w:hint="default"/>
      </w:rPr>
    </w:lvl>
  </w:abstractNum>
  <w:abstractNum w:abstractNumId="1">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7C733D5"/>
    <w:rsid w:val="09811342"/>
    <w:rsid w:val="0A8F3F31"/>
    <w:rsid w:val="0A974783"/>
    <w:rsid w:val="0AC20A24"/>
    <w:rsid w:val="0AEC0364"/>
    <w:rsid w:val="0C0008F4"/>
    <w:rsid w:val="0C1C1895"/>
    <w:rsid w:val="0C3C7AF6"/>
    <w:rsid w:val="0DB301CC"/>
    <w:rsid w:val="0E6A6913"/>
    <w:rsid w:val="0FEA282E"/>
    <w:rsid w:val="10B63FE7"/>
    <w:rsid w:val="114C2E46"/>
    <w:rsid w:val="129E71D0"/>
    <w:rsid w:val="12B24BE1"/>
    <w:rsid w:val="13427DB4"/>
    <w:rsid w:val="1345104A"/>
    <w:rsid w:val="18AE01D8"/>
    <w:rsid w:val="1BA86C22"/>
    <w:rsid w:val="1D261077"/>
    <w:rsid w:val="1F687700"/>
    <w:rsid w:val="24771887"/>
    <w:rsid w:val="2B4A0752"/>
    <w:rsid w:val="2C0B6F0E"/>
    <w:rsid w:val="2C12461C"/>
    <w:rsid w:val="2D333A50"/>
    <w:rsid w:val="2DA34CE1"/>
    <w:rsid w:val="30F6550C"/>
    <w:rsid w:val="311566B0"/>
    <w:rsid w:val="33247945"/>
    <w:rsid w:val="341F29BE"/>
    <w:rsid w:val="34515BD6"/>
    <w:rsid w:val="35FB0213"/>
    <w:rsid w:val="3AE04ADC"/>
    <w:rsid w:val="3C1934F8"/>
    <w:rsid w:val="3D384F8E"/>
    <w:rsid w:val="3E7A5DA4"/>
    <w:rsid w:val="406B3CF1"/>
    <w:rsid w:val="42B533F0"/>
    <w:rsid w:val="432A1201"/>
    <w:rsid w:val="432C279F"/>
    <w:rsid w:val="459C0CF6"/>
    <w:rsid w:val="46B43896"/>
    <w:rsid w:val="473A51A1"/>
    <w:rsid w:val="479E019E"/>
    <w:rsid w:val="4AE76519"/>
    <w:rsid w:val="4BB6535C"/>
    <w:rsid w:val="4FEA1208"/>
    <w:rsid w:val="51226553"/>
    <w:rsid w:val="528A4A9C"/>
    <w:rsid w:val="543E2C5B"/>
    <w:rsid w:val="584963F2"/>
    <w:rsid w:val="58DF0B08"/>
    <w:rsid w:val="5AB726B1"/>
    <w:rsid w:val="5EF440A3"/>
    <w:rsid w:val="5F063C4E"/>
    <w:rsid w:val="601E082E"/>
    <w:rsid w:val="60B3492E"/>
    <w:rsid w:val="656E5DB3"/>
    <w:rsid w:val="66643709"/>
    <w:rsid w:val="67663871"/>
    <w:rsid w:val="68EE2E29"/>
    <w:rsid w:val="69A93106"/>
    <w:rsid w:val="6AA515D5"/>
    <w:rsid w:val="6ABF12C5"/>
    <w:rsid w:val="6AEB37C3"/>
    <w:rsid w:val="6C615816"/>
    <w:rsid w:val="6CA56A14"/>
    <w:rsid w:val="6E773506"/>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1325</Words>
  <Characters>1736</Characters>
  <Lines>25</Lines>
  <Paragraphs>7</Paragraphs>
  <TotalTime>0</TotalTime>
  <ScaleCrop>false</ScaleCrop>
  <LinksUpToDate>false</LinksUpToDate>
  <CharactersWithSpaces>1780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2026-07-24T01:50:29Z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