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7B278A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62175</wp:posOffset>
            </wp:positionV>
            <wp:extent cx="1155065" cy="1725295"/>
            <wp:effectExtent l="0" t="0" r="6985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1828E1">
        <w:rPr>
          <w:b/>
          <w:szCs w:val="21"/>
        </w:rPr>
        <w:t>当下的存在主义：致</w:t>
      </w:r>
      <w:r w:rsidR="001828E1">
        <w:rPr>
          <w:rFonts w:hint="eastAsia"/>
          <w:b/>
          <w:szCs w:val="21"/>
        </w:rPr>
        <w:t>2</w:t>
      </w:r>
      <w:r w:rsidR="001828E1">
        <w:rPr>
          <w:b/>
          <w:szCs w:val="21"/>
        </w:rPr>
        <w:t>1</w:t>
      </w:r>
      <w:r w:rsidR="001828E1">
        <w:rPr>
          <w:b/>
          <w:szCs w:val="21"/>
        </w:rPr>
        <w:t>世纪的</w:t>
      </w:r>
      <w:r w:rsidR="001828E1">
        <w:rPr>
          <w:rFonts w:hint="eastAsia"/>
          <w:b/>
          <w:szCs w:val="21"/>
        </w:rPr>
        <w:t>2</w:t>
      </w:r>
      <w:r w:rsidR="001828E1">
        <w:rPr>
          <w:b/>
          <w:szCs w:val="21"/>
        </w:rPr>
        <w:t>1</w:t>
      </w:r>
      <w:r w:rsidR="001828E1">
        <w:rPr>
          <w:b/>
          <w:szCs w:val="21"/>
        </w:rPr>
        <w:t>条经典名言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4A7DBC">
        <w:rPr>
          <w:rFonts w:hint="eastAsia"/>
          <w:b/>
          <w:szCs w:val="21"/>
        </w:rPr>
        <w:t>E</w:t>
      </w:r>
      <w:r w:rsidR="004A7DBC">
        <w:rPr>
          <w:b/>
          <w:szCs w:val="21"/>
        </w:rPr>
        <w:t>XSTENTIALISM NOW: 21 Quotes for the 21st Century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7B278A">
        <w:rPr>
          <w:rFonts w:hint="eastAsia"/>
          <w:b/>
          <w:color w:val="000000"/>
          <w:szCs w:val="21"/>
        </w:rPr>
        <w:t>N</w:t>
      </w:r>
      <w:r w:rsidR="007B278A">
        <w:rPr>
          <w:b/>
          <w:color w:val="000000"/>
          <w:szCs w:val="21"/>
        </w:rPr>
        <w:t>ik Farrell Fox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7B278A">
        <w:rPr>
          <w:b/>
          <w:color w:val="000000"/>
          <w:szCs w:val="21"/>
        </w:rPr>
        <w:t>Bloomsbury Academic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7B278A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7B278A">
        <w:rPr>
          <w:rFonts w:hint="eastAsia"/>
          <w:b/>
          <w:color w:val="000000"/>
          <w:szCs w:val="21"/>
        </w:rPr>
        <w:t>3</w:t>
      </w:r>
      <w:r w:rsidR="007B278A">
        <w:rPr>
          <w:b/>
          <w:color w:val="000000"/>
          <w:szCs w:val="21"/>
        </w:rPr>
        <w:t>60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7B278A">
        <w:rPr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7B278A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1828E1">
        <w:rPr>
          <w:b/>
          <w:color w:val="000000"/>
          <w:szCs w:val="21"/>
        </w:rPr>
        <w:t>大众哲学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color w:val="000000"/>
          <w:szCs w:val="21"/>
        </w:rPr>
      </w:pPr>
    </w:p>
    <w:p w:rsidR="007B278A" w:rsidRDefault="007B278A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在</w:t>
      </w:r>
      <w:r>
        <w:rPr>
          <w:rFonts w:hint="eastAsia"/>
          <w:color w:val="000000"/>
          <w:szCs w:val="21"/>
        </w:rPr>
        <w:t>2</w:t>
      </w:r>
      <w:r>
        <w:rPr>
          <w:color w:val="000000"/>
          <w:szCs w:val="21"/>
        </w:rPr>
        <w:t>1</w:t>
      </w:r>
      <w:r>
        <w:rPr>
          <w:color w:val="000000"/>
          <w:szCs w:val="21"/>
        </w:rPr>
        <w:t>世纪，自由、真诚、且富有担当的活着，到底意味着什么？存在主义在当下有何价值</w:t>
      </w:r>
      <w:r w:rsidR="00FF43E8">
        <w:rPr>
          <w:color w:val="000000"/>
          <w:szCs w:val="21"/>
        </w:rPr>
        <w:t>？它仅仅是一堆非理性、个体主义的悲观论调，还是能回应当代人内心</w:t>
      </w:r>
      <w:bookmarkStart w:id="0" w:name="_GoBack"/>
      <w:bookmarkEnd w:id="0"/>
      <w:r>
        <w:rPr>
          <w:color w:val="000000"/>
          <w:szCs w:val="21"/>
        </w:rPr>
        <w:t>困惑</w:t>
      </w:r>
      <w:r w:rsidR="00FF43E8">
        <w:rPr>
          <w:rFonts w:hint="eastAsia"/>
          <w:color w:val="000000"/>
          <w:szCs w:val="21"/>
        </w:rPr>
        <w:t>的答案</w:t>
      </w:r>
      <w:r>
        <w:rPr>
          <w:color w:val="000000"/>
          <w:szCs w:val="21"/>
        </w:rPr>
        <w:t>？</w:t>
      </w:r>
    </w:p>
    <w:p w:rsidR="007B278A" w:rsidRDefault="007B278A">
      <w:pPr>
        <w:rPr>
          <w:color w:val="000000"/>
          <w:szCs w:val="21"/>
        </w:rPr>
      </w:pPr>
    </w:p>
    <w:p w:rsidR="007B278A" w:rsidRDefault="007B278A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刻板印象中，人们常常将存在主义与波西米亚小圈子、故作姿态的咖啡馆常客、初学哲学的新手绑定在一起，它或许是遭到最多误解、被肆意丑化的哲学思潮。当《当下的存在主义》一书并未堆砌枯燥的历史观，也</w:t>
      </w:r>
      <w:r w:rsidR="00285B4B">
        <w:rPr>
          <w:color w:val="000000"/>
          <w:szCs w:val="21"/>
        </w:rPr>
        <w:t>不是让人陷入思想绝望的读物。本书向人们阐明：存在主义对于自由、肉身存在、不确定性、本真性与责任等概念的阐释，迫切</w:t>
      </w:r>
      <w:proofErr w:type="gramStart"/>
      <w:r w:rsidR="00285B4B">
        <w:rPr>
          <w:color w:val="000000"/>
          <w:szCs w:val="21"/>
        </w:rPr>
        <w:t>回应着</w:t>
      </w:r>
      <w:proofErr w:type="gramEnd"/>
      <w:r w:rsidR="00285B4B">
        <w:rPr>
          <w:color w:val="000000"/>
          <w:szCs w:val="21"/>
        </w:rPr>
        <w:t>现代生活中面临的种种压力与潜在机遇。</w:t>
      </w:r>
    </w:p>
    <w:p w:rsidR="00285B4B" w:rsidRDefault="00285B4B">
      <w:pPr>
        <w:rPr>
          <w:color w:val="000000"/>
          <w:szCs w:val="21"/>
        </w:rPr>
      </w:pPr>
    </w:p>
    <w:p w:rsidR="001828E1" w:rsidRDefault="00285B4B">
      <w:pPr>
        <w:rPr>
          <w:color w:val="000000"/>
          <w:szCs w:val="21"/>
        </w:rPr>
      </w:pPr>
      <w:r>
        <w:rPr>
          <w:color w:val="000000"/>
          <w:szCs w:val="21"/>
        </w:rPr>
        <w:tab/>
      </w:r>
      <w:r>
        <w:rPr>
          <w:color w:val="000000"/>
          <w:szCs w:val="21"/>
        </w:rPr>
        <w:t>本书选取了开郭尔（</w:t>
      </w:r>
      <w:r>
        <w:rPr>
          <w:rFonts w:hint="eastAsia"/>
          <w:color w:val="000000"/>
          <w:szCs w:val="21"/>
        </w:rPr>
        <w:t>Kierkegaard</w:t>
      </w:r>
      <w:r>
        <w:rPr>
          <w:rFonts w:hint="eastAsia"/>
          <w:color w:val="000000"/>
          <w:szCs w:val="21"/>
        </w:rPr>
        <w:t>）、尼采（</w:t>
      </w:r>
      <w:r>
        <w:rPr>
          <w:rFonts w:hint="eastAsia"/>
          <w:color w:val="000000"/>
          <w:szCs w:val="21"/>
        </w:rPr>
        <w:t>Nie</w:t>
      </w:r>
      <w:r>
        <w:rPr>
          <w:color w:val="000000"/>
          <w:szCs w:val="21"/>
        </w:rPr>
        <w:t>tzsche</w:t>
      </w:r>
      <w:r>
        <w:rPr>
          <w:rFonts w:hint="eastAsia"/>
          <w:color w:val="000000"/>
          <w:szCs w:val="21"/>
        </w:rPr>
        <w:t>）</w:t>
      </w:r>
      <w:r>
        <w:rPr>
          <w:color w:val="000000"/>
          <w:szCs w:val="21"/>
        </w:rPr>
        <w:t>、波伏瓦（</w:t>
      </w:r>
      <w:r>
        <w:rPr>
          <w:rFonts w:hint="eastAsia"/>
          <w:color w:val="000000"/>
          <w:szCs w:val="21"/>
        </w:rPr>
        <w:t>Beauvoir</w:t>
      </w:r>
      <w:r>
        <w:rPr>
          <w:rFonts w:hint="eastAsia"/>
          <w:color w:val="000000"/>
          <w:szCs w:val="21"/>
        </w:rPr>
        <w:t>）、法农（</w:t>
      </w:r>
      <w:r>
        <w:rPr>
          <w:rFonts w:hint="eastAsia"/>
          <w:color w:val="000000"/>
          <w:szCs w:val="21"/>
        </w:rPr>
        <w:t>Fanon</w:t>
      </w:r>
      <w:r>
        <w:rPr>
          <w:rFonts w:hint="eastAsia"/>
          <w:color w:val="000000"/>
          <w:szCs w:val="21"/>
        </w:rPr>
        <w:t>）、萨特（</w:t>
      </w:r>
      <w:r>
        <w:rPr>
          <w:rFonts w:hint="eastAsia"/>
          <w:color w:val="000000"/>
          <w:szCs w:val="21"/>
        </w:rPr>
        <w:t>Sartre</w:t>
      </w:r>
      <w:r>
        <w:rPr>
          <w:rFonts w:hint="eastAsia"/>
          <w:color w:val="000000"/>
          <w:szCs w:val="21"/>
        </w:rPr>
        <w:t>）、海德格尔（</w:t>
      </w:r>
      <w:r>
        <w:rPr>
          <w:rFonts w:hint="eastAsia"/>
          <w:color w:val="000000"/>
          <w:szCs w:val="21"/>
        </w:rPr>
        <w:t>Heidegger</w:t>
      </w:r>
      <w:r>
        <w:rPr>
          <w:rFonts w:hint="eastAsia"/>
          <w:color w:val="000000"/>
          <w:szCs w:val="21"/>
        </w:rPr>
        <w:t>）、梅洛</w:t>
      </w:r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庞帝（</w:t>
      </w:r>
      <w:proofErr w:type="spellStart"/>
      <w:r>
        <w:rPr>
          <w:rFonts w:hint="eastAsia"/>
          <w:color w:val="000000"/>
          <w:szCs w:val="21"/>
        </w:rPr>
        <w:t>Merleau</w:t>
      </w:r>
      <w:r>
        <w:rPr>
          <w:color w:val="000000"/>
          <w:szCs w:val="21"/>
        </w:rPr>
        <w:t>-Ponty</w:t>
      </w:r>
      <w:proofErr w:type="spellEnd"/>
      <w:r>
        <w:rPr>
          <w:color w:val="000000"/>
          <w:szCs w:val="21"/>
        </w:rPr>
        <w:t>）、等思想家的</w:t>
      </w:r>
      <w:r>
        <w:rPr>
          <w:rFonts w:hint="eastAsia"/>
          <w:color w:val="000000"/>
          <w:szCs w:val="21"/>
        </w:rPr>
        <w:t>2</w:t>
      </w:r>
      <w:r>
        <w:rPr>
          <w:color w:val="000000"/>
          <w:szCs w:val="21"/>
        </w:rPr>
        <w:t>1</w:t>
      </w:r>
      <w:r>
        <w:rPr>
          <w:color w:val="000000"/>
          <w:szCs w:val="21"/>
        </w:rPr>
        <w:t>句经典名言，让振聋发聩的存在主义思想照进当下。诸如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人不是生而为女人，而是逐渐成为女人</w:t>
      </w:r>
      <w:r>
        <w:rPr>
          <w:color w:val="000000"/>
          <w:szCs w:val="21"/>
        </w:rPr>
        <w:t>”</w:t>
      </w:r>
      <w:r>
        <w:rPr>
          <w:color w:val="000000"/>
          <w:szCs w:val="21"/>
        </w:rPr>
        <w:t>、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他人即地狱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、</w:t>
      </w:r>
      <w:r>
        <w:rPr>
          <w:color w:val="000000"/>
          <w:szCs w:val="21"/>
        </w:rPr>
        <w:t>“</w:t>
      </w:r>
      <w:r>
        <w:rPr>
          <w:color w:val="000000"/>
          <w:szCs w:val="21"/>
        </w:rPr>
        <w:t>忠于大地</w:t>
      </w:r>
      <w:r>
        <w:rPr>
          <w:rFonts w:hint="eastAsia"/>
          <w:color w:val="000000"/>
          <w:szCs w:val="21"/>
        </w:rPr>
        <w:t>”等论述，为我们穿行在饱受生态危机、政治撕裂、技术飞速发展冲击的世界提供路标，也成为探讨性别、种族、创伤、焦虑、科技、生态、政治、暴力、爱与人类未来的思想起点。</w:t>
      </w:r>
    </w:p>
    <w:p w:rsidR="001828E1" w:rsidRDefault="001828E1">
      <w:pPr>
        <w:rPr>
          <w:color w:val="000000"/>
          <w:szCs w:val="21"/>
        </w:rPr>
      </w:pPr>
    </w:p>
    <w:p w:rsidR="00285B4B" w:rsidRPr="00285B4B" w:rsidRDefault="001828E1" w:rsidP="001828E1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尼克·法雷尔·福克斯最终提出，我们能够破除长期笼罩存在注意的种种误读，重新发掘这一思想对当代思想持续焕发的价值。</w:t>
      </w:r>
    </w:p>
    <w:p w:rsidR="007B278A" w:rsidRDefault="007B278A">
      <w:pPr>
        <w:rPr>
          <w:b/>
          <w:color w:val="000000"/>
        </w:rPr>
      </w:pPr>
    </w:p>
    <w:p w:rsidR="004209F2" w:rsidRDefault="004209F2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7B278A" w:rsidRPr="001828E1" w:rsidRDefault="001828E1" w:rsidP="001828E1">
      <w:pPr>
        <w:ind w:firstLine="420"/>
        <w:rPr>
          <w:color w:val="000000"/>
          <w:szCs w:val="21"/>
          <w:lang w:val="en"/>
        </w:rPr>
      </w:pPr>
      <w:r w:rsidRPr="001828E1">
        <w:rPr>
          <w:rFonts w:hint="eastAsia"/>
          <w:b/>
          <w:color w:val="000000"/>
          <w:szCs w:val="21"/>
          <w:lang w:val="en"/>
        </w:rPr>
        <w:t>尼克</w:t>
      </w:r>
      <w:r w:rsidRPr="001828E1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1828E1">
        <w:rPr>
          <w:rFonts w:ascii="宋体" w:hAnsi="宋体" w:cs="宋体" w:hint="eastAsia"/>
          <w:b/>
          <w:color w:val="000000"/>
          <w:szCs w:val="21"/>
          <w:lang w:val="en"/>
        </w:rPr>
        <w:t>法雷尔</w:t>
      </w:r>
      <w:r w:rsidRPr="001828E1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1828E1">
        <w:rPr>
          <w:rFonts w:ascii="宋体" w:hAnsi="宋体" w:cs="宋体" w:hint="eastAsia"/>
          <w:b/>
          <w:color w:val="000000"/>
          <w:szCs w:val="21"/>
          <w:lang w:val="en"/>
        </w:rPr>
        <w:t>福克斯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1828E1">
        <w:rPr>
          <w:b/>
          <w:color w:val="000000"/>
          <w:szCs w:val="21"/>
          <w:lang w:val="en"/>
        </w:rPr>
        <w:t>Nick Farrell Fox</w:t>
      </w:r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1828E1">
        <w:rPr>
          <w:rFonts w:ascii="宋体" w:hAnsi="宋体" w:cs="宋体" w:hint="eastAsia"/>
          <w:color w:val="000000"/>
          <w:szCs w:val="21"/>
          <w:lang w:val="en"/>
        </w:rPr>
        <w:t>是英国林肯大学研究员。</w:t>
      </w:r>
    </w:p>
    <w:p w:rsidR="007B278A" w:rsidRPr="001828E1" w:rsidRDefault="007B278A">
      <w:pPr>
        <w:rPr>
          <w:color w:val="000000"/>
        </w:rPr>
      </w:pPr>
    </w:p>
    <w:p w:rsidR="004209F2" w:rsidRDefault="004209F2">
      <w:pPr>
        <w:rPr>
          <w:b/>
          <w:color w:val="000000"/>
        </w:rPr>
      </w:pPr>
    </w:p>
    <w:p w:rsidR="001828E1" w:rsidRDefault="001828E1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1828E1" w:rsidRDefault="001828E1">
      <w:pPr>
        <w:rPr>
          <w:b/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致谢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存在主义著作缩写对照表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前言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导论：在二十一世纪培育存在主义思想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二十一则名言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 </w:t>
      </w:r>
      <w:r w:rsidRPr="001828E1">
        <w:rPr>
          <w:rFonts w:hint="eastAsia"/>
          <w:color w:val="000000"/>
        </w:rPr>
        <w:t>“上帝已死！上帝依然死去！而我们杀死了他！”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（尼采，《快乐的科学》）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宗教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2 </w:t>
      </w:r>
      <w:r w:rsidRPr="001828E1">
        <w:rPr>
          <w:rFonts w:hint="eastAsia"/>
          <w:color w:val="000000"/>
        </w:rPr>
        <w:t>“倘若人俯身凝望那张开的深渊，便会感到眩晕”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（克尔</w:t>
      </w:r>
      <w:proofErr w:type="gramStart"/>
      <w:r w:rsidRPr="001828E1">
        <w:rPr>
          <w:rFonts w:hint="eastAsia"/>
          <w:color w:val="000000"/>
        </w:rPr>
        <w:t>凯</w:t>
      </w:r>
      <w:proofErr w:type="gramEnd"/>
      <w:r w:rsidRPr="001828E1">
        <w:rPr>
          <w:rFonts w:hint="eastAsia"/>
          <w:color w:val="000000"/>
        </w:rPr>
        <w:t>郭尔，《恐惧的概念》）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焦虑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心理治疗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3 </w:t>
      </w:r>
      <w:r w:rsidRPr="001828E1">
        <w:rPr>
          <w:rFonts w:hint="eastAsia"/>
          <w:color w:val="000000"/>
        </w:rPr>
        <w:t>“忠于大地”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（尼采，《查拉图斯特拉如是说》）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生态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4 </w:t>
      </w:r>
      <w:r w:rsidRPr="001828E1">
        <w:rPr>
          <w:rFonts w:hint="eastAsia"/>
          <w:color w:val="000000"/>
        </w:rPr>
        <w:t>“人不是生而为女人，而是逐渐成为女人”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（波伏瓦，《第二性》）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性别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5 </w:t>
      </w:r>
      <w:r w:rsidRPr="001828E1">
        <w:rPr>
          <w:rFonts w:hint="eastAsia"/>
          <w:color w:val="000000"/>
        </w:rPr>
        <w:t>“种族主义、仇恨、怨愤……</w:t>
      </w:r>
      <w:r w:rsidRPr="001828E1">
        <w:rPr>
          <w:rFonts w:hint="eastAsia"/>
          <w:color w:val="000000"/>
        </w:rPr>
        <w:t xml:space="preserve"> </w:t>
      </w:r>
      <w:r w:rsidRPr="001828E1">
        <w:rPr>
          <w:rFonts w:hint="eastAsia"/>
          <w:color w:val="000000"/>
        </w:rPr>
        <w:t>单凭这些无法孕育解放之战”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（法农，《全世界受苦的人》）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种族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6 </w:t>
      </w:r>
      <w:r w:rsidRPr="001828E1">
        <w:rPr>
          <w:rFonts w:hint="eastAsia"/>
          <w:color w:val="000000"/>
        </w:rPr>
        <w:t>“没有音乐，人生将是一场谬误”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（尼采，《偶像的黄昏》）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音乐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艺术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7 </w:t>
      </w:r>
      <w:r w:rsidRPr="001828E1">
        <w:rPr>
          <w:rFonts w:hint="eastAsia"/>
          <w:color w:val="000000"/>
        </w:rPr>
        <w:t>“面向生命，面向此时此地的现实”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（波伏瓦，《盛年》）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理性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情感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8 </w:t>
      </w:r>
      <w:r w:rsidRPr="001828E1">
        <w:rPr>
          <w:rFonts w:hint="eastAsia"/>
          <w:color w:val="000000"/>
        </w:rPr>
        <w:t>“此刻我劝你们离弃我，去寻获你们自身”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（尼采，《查拉图斯特拉如是说》）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政治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lastRenderedPageBreak/>
        <w:t xml:space="preserve">9 </w:t>
      </w:r>
      <w:r w:rsidRPr="001828E1">
        <w:rPr>
          <w:rFonts w:hint="eastAsia"/>
          <w:color w:val="000000"/>
        </w:rPr>
        <w:t>“语言是存在之家。人栖居于这寓所之中。”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（海德格尔，《关于人道主义的书信》）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语言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写作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10 </w:t>
      </w:r>
      <w:r w:rsidRPr="001828E1">
        <w:rPr>
          <w:rFonts w:hint="eastAsia"/>
          <w:color w:val="000000"/>
        </w:rPr>
        <w:t>“在存在的所有领域，人类将日益被技术力量层层围困”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（海德格尔，《思的经验》）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技术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科学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11 </w:t>
      </w:r>
      <w:r w:rsidRPr="001828E1">
        <w:rPr>
          <w:rFonts w:hint="eastAsia"/>
          <w:color w:val="000000"/>
        </w:rPr>
        <w:t>“我并非立于我的身体之前，我居于身体之中，毋宁说，我就是我的身体。”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（梅洛</w:t>
      </w:r>
      <w:r w:rsidRPr="001828E1">
        <w:rPr>
          <w:rFonts w:hint="eastAsia"/>
          <w:color w:val="000000"/>
        </w:rPr>
        <w:t xml:space="preserve"> - </w:t>
      </w:r>
      <w:r w:rsidRPr="001828E1">
        <w:rPr>
          <w:rFonts w:hint="eastAsia"/>
          <w:color w:val="000000"/>
        </w:rPr>
        <w:t>庞蒂，《知觉现象学》）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身体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12 </w:t>
      </w:r>
      <w:r w:rsidRPr="001828E1">
        <w:rPr>
          <w:rFonts w:hint="eastAsia"/>
          <w:color w:val="000000"/>
        </w:rPr>
        <w:t>“他人即地狱”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（萨特，《禁闭》）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自我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他者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13 </w:t>
      </w:r>
      <w:r w:rsidRPr="001828E1">
        <w:rPr>
          <w:rFonts w:hint="eastAsia"/>
          <w:color w:val="000000"/>
        </w:rPr>
        <w:t>“人始终被裹挟，淹没于偶然性之中”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（法农，《黑皮肤，白面具》）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自由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必然性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14 </w:t>
      </w:r>
      <w:r w:rsidRPr="001828E1">
        <w:rPr>
          <w:rFonts w:hint="eastAsia"/>
          <w:color w:val="000000"/>
        </w:rPr>
        <w:t>“你当成为你之所是”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（尼采，《瞧，这个人》）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自我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15 </w:t>
      </w:r>
      <w:r w:rsidRPr="001828E1">
        <w:rPr>
          <w:rFonts w:hint="eastAsia"/>
          <w:color w:val="000000"/>
        </w:rPr>
        <w:t>“死亡，即是沦为生者的猎物”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（萨特，《存在与虚无》）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死亡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16 </w:t>
      </w:r>
      <w:r w:rsidRPr="001828E1">
        <w:rPr>
          <w:rFonts w:hint="eastAsia"/>
          <w:color w:val="000000"/>
        </w:rPr>
        <w:t>“存在是统一的，穿透并跨越诸存在者之间的隔阂”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（波伏瓦，《第二性》）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内在关联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17 </w:t>
      </w:r>
      <w:r w:rsidRPr="001828E1">
        <w:rPr>
          <w:rFonts w:hint="eastAsia"/>
          <w:color w:val="000000"/>
        </w:rPr>
        <w:t>“问题不在于人们是否接受或拒斥暴力，而在于……</w:t>
      </w:r>
      <w:r w:rsidRPr="001828E1">
        <w:rPr>
          <w:rFonts w:hint="eastAsia"/>
          <w:color w:val="000000"/>
        </w:rPr>
        <w:t xml:space="preserve"> </w:t>
      </w:r>
      <w:r w:rsidRPr="001828E1">
        <w:rPr>
          <w:rFonts w:hint="eastAsia"/>
          <w:color w:val="000000"/>
        </w:rPr>
        <w:t>暴力究竟趋向自我消弭，还是永续自身。”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（梅洛</w:t>
      </w:r>
      <w:r w:rsidRPr="001828E1">
        <w:rPr>
          <w:rFonts w:hint="eastAsia"/>
          <w:color w:val="000000"/>
        </w:rPr>
        <w:t xml:space="preserve"> - </w:t>
      </w:r>
      <w:r w:rsidRPr="001828E1">
        <w:rPr>
          <w:rFonts w:hint="eastAsia"/>
          <w:color w:val="000000"/>
        </w:rPr>
        <w:t>庞蒂，《人道主义与恐怖》）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暴力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18 </w:t>
      </w:r>
      <w:r w:rsidRPr="001828E1">
        <w:rPr>
          <w:rFonts w:hint="eastAsia"/>
          <w:color w:val="000000"/>
        </w:rPr>
        <w:t>“肯定生命。肯定爱。肯定慷慨。”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（法农，《黑皮肤，白面具》）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爱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19 </w:t>
      </w:r>
      <w:r w:rsidRPr="001828E1">
        <w:rPr>
          <w:rFonts w:hint="eastAsia"/>
          <w:color w:val="000000"/>
        </w:rPr>
        <w:t>“含混性是人类生存的本质，我们所经历、思考的一切，向来拥有多重意义。”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lastRenderedPageBreak/>
        <w:t>（梅洛</w:t>
      </w:r>
      <w:r w:rsidRPr="001828E1">
        <w:rPr>
          <w:rFonts w:hint="eastAsia"/>
          <w:color w:val="000000"/>
        </w:rPr>
        <w:t xml:space="preserve"> - </w:t>
      </w:r>
      <w:r w:rsidRPr="001828E1">
        <w:rPr>
          <w:rFonts w:hint="eastAsia"/>
          <w:color w:val="000000"/>
        </w:rPr>
        <w:t>庞蒂，《知觉现象学》）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悖论</w:t>
      </w:r>
      <w:r w:rsidRPr="001828E1">
        <w:rPr>
          <w:rFonts w:hint="eastAsia"/>
          <w:color w:val="000000"/>
        </w:rPr>
        <w:t xml:space="preserve"> / </w:t>
      </w:r>
      <w:r w:rsidRPr="001828E1">
        <w:rPr>
          <w:rFonts w:hint="eastAsia"/>
          <w:color w:val="000000"/>
        </w:rPr>
        <w:t>含混性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20 </w:t>
      </w:r>
      <w:r w:rsidRPr="001828E1">
        <w:rPr>
          <w:rFonts w:hint="eastAsia"/>
          <w:color w:val="000000"/>
        </w:rPr>
        <w:t>“必须有一种人的观念，一种关乎人类未来的观念。”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（法农，《全世界受苦的人》）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人道主义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 xml:space="preserve">21 </w:t>
      </w:r>
      <w:r w:rsidRPr="001828E1">
        <w:rPr>
          <w:rFonts w:hint="eastAsia"/>
          <w:color w:val="000000"/>
        </w:rPr>
        <w:t>“动物。在我看来，它们是一个哲学难题。”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（萨特，《永别：萨特告别录》，第</w:t>
      </w:r>
      <w:r w:rsidRPr="001828E1">
        <w:rPr>
          <w:rFonts w:hint="eastAsia"/>
          <w:color w:val="000000"/>
        </w:rPr>
        <w:t xml:space="preserve"> 316 </w:t>
      </w:r>
      <w:r w:rsidRPr="001828E1">
        <w:rPr>
          <w:rFonts w:hint="eastAsia"/>
          <w:color w:val="000000"/>
        </w:rPr>
        <w:t>页）</w:t>
      </w:r>
    </w:p>
    <w:p w:rsid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动物</w:t>
      </w:r>
    </w:p>
    <w:p w:rsidR="001828E1" w:rsidRPr="001828E1" w:rsidRDefault="001828E1" w:rsidP="001828E1">
      <w:pPr>
        <w:jc w:val="center"/>
        <w:rPr>
          <w:color w:val="000000"/>
        </w:rPr>
      </w:pP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注释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参考文献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拓展阅读</w:t>
      </w:r>
    </w:p>
    <w:p w:rsidR="001828E1" w:rsidRPr="001828E1" w:rsidRDefault="001828E1" w:rsidP="001828E1">
      <w:pPr>
        <w:jc w:val="center"/>
        <w:rPr>
          <w:color w:val="000000"/>
        </w:rPr>
      </w:pPr>
      <w:r w:rsidRPr="001828E1">
        <w:rPr>
          <w:rFonts w:hint="eastAsia"/>
          <w:color w:val="000000"/>
        </w:rPr>
        <w:t>索引</w:t>
      </w:r>
    </w:p>
    <w:p w:rsidR="001828E1" w:rsidRDefault="001828E1">
      <w:pPr>
        <w:rPr>
          <w:b/>
          <w:color w:val="000000"/>
        </w:rPr>
      </w:pPr>
    </w:p>
    <w:p w:rsidR="001828E1" w:rsidRPr="004209F2" w:rsidRDefault="001828E1">
      <w:pPr>
        <w:rPr>
          <w:b/>
          <w:color w:val="000000"/>
        </w:rPr>
      </w:pPr>
    </w:p>
    <w:p w:rsidR="00C71E33" w:rsidRPr="0013605C" w:rsidRDefault="00C71E33" w:rsidP="00C71E33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C71E33" w:rsidRPr="002333D9" w:rsidRDefault="00C71E33" w:rsidP="00C71E33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C71E33" w:rsidRPr="00E556A0" w:rsidRDefault="00C71E33" w:rsidP="00C71E33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C71E33" w:rsidRPr="0013605C" w:rsidRDefault="00C71E33" w:rsidP="00C71E3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C71E33" w:rsidRPr="0013605C" w:rsidRDefault="00C71E33" w:rsidP="00C71E3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C71E33" w:rsidRPr="0013605C" w:rsidRDefault="00C71E33" w:rsidP="00C71E3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C71E33" w:rsidRPr="00D6262A" w:rsidRDefault="00C71E33" w:rsidP="00C71E33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:rsidR="00C71E33" w:rsidRPr="00D6262A" w:rsidRDefault="00C71E33" w:rsidP="00C71E3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C71E33" w:rsidRPr="00D6262A" w:rsidRDefault="00C71E33" w:rsidP="00C71E3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C71E33" w:rsidRPr="00D6262A" w:rsidRDefault="00C71E33" w:rsidP="00C71E33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C71E33" w:rsidRPr="00D6262A" w:rsidRDefault="00C71E33" w:rsidP="00C71E33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:rsidR="00C71E33" w:rsidRDefault="00C71E33" w:rsidP="00C71E33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C71E33" w:rsidRDefault="00C71E33" w:rsidP="00C71E33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C71E33" w:rsidRPr="0013605C" w:rsidRDefault="00C71E33" w:rsidP="00C71E33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C71E33" w:rsidRPr="00115765" w:rsidRDefault="00C71E33" w:rsidP="00C71E33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7CE195A4" wp14:editId="7536B0CE">
            <wp:extent cx="625475" cy="678815"/>
            <wp:effectExtent l="0" t="0" r="0" b="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C71E33" w:rsidRDefault="00C71E33" w:rsidP="00C71E33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B69" w:rsidRDefault="00894B69">
      <w:r>
        <w:separator/>
      </w:r>
    </w:p>
  </w:endnote>
  <w:endnote w:type="continuationSeparator" w:id="0">
    <w:p w:rsidR="00894B69" w:rsidRDefault="0089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B69" w:rsidRDefault="00894B69">
      <w:r>
        <w:separator/>
      </w:r>
    </w:p>
  </w:footnote>
  <w:footnote w:type="continuationSeparator" w:id="0">
    <w:p w:rsidR="00894B69" w:rsidRDefault="0089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6419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28E1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85B4B"/>
    <w:rsid w:val="002935E9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7895"/>
    <w:rsid w:val="004A52FF"/>
    <w:rsid w:val="004A7DBC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278A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4B69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0036"/>
    <w:rsid w:val="009A1093"/>
    <w:rsid w:val="009B01A7"/>
    <w:rsid w:val="009B3943"/>
    <w:rsid w:val="009C66BB"/>
    <w:rsid w:val="009C68FD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4194"/>
    <w:rsid w:val="00C66A9F"/>
    <w:rsid w:val="00C71DBF"/>
    <w:rsid w:val="00C71E33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0FF43E8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2D39927-6144-443C-B6BC-00AB611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55</TotalTime>
  <Pages>4</Pages>
  <Words>401</Words>
  <Characters>2288</Characters>
  <Application>Microsoft Office Word</Application>
  <DocSecurity>0</DocSecurity>
  <Lines>19</Lines>
  <Paragraphs>5</Paragraphs>
  <ScaleCrop>false</ScaleCrop>
  <Company>2ndSpAcE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7</cp:revision>
  <cp:lastPrinted>2005-06-10T06:33:00Z</cp:lastPrinted>
  <dcterms:created xsi:type="dcterms:W3CDTF">2026-08-06T01:12:00Z</dcterms:created>
  <dcterms:modified xsi:type="dcterms:W3CDTF">2026-08-06T06:07:00Z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