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rFonts w:hint="eastAsia" w:eastAsia="宋体"/>
          <w:kern w:val="0"/>
          <w:szCs w:val="21"/>
          <w:lang w:eastAsia="zh-CN"/>
        </w:rPr>
        <w:drawing>
          <wp:anchor distT="0" distB="0" distL="114300" distR="114300" simplePos="0" relativeHeight="251659264" behindDoc="0" locked="0" layoutInCell="1" allowOverlap="1">
            <wp:simplePos x="0" y="0"/>
            <wp:positionH relativeFrom="column">
              <wp:posOffset>3858895</wp:posOffset>
            </wp:positionH>
            <wp:positionV relativeFrom="paragraph">
              <wp:posOffset>63500</wp:posOffset>
            </wp:positionV>
            <wp:extent cx="1445260" cy="1766570"/>
            <wp:effectExtent l="0" t="0" r="2540" b="11430"/>
            <wp:wrapSquare wrapText="bothSides"/>
            <wp:docPr id="1" name="图片 1" descr="00147e48-a248-4944-b4d8-627c0790ad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147e48-a248-4944-b4d8-627c0790ad2d"/>
                    <pic:cNvPicPr>
                      <a:picLocks noChangeAspect="1"/>
                    </pic:cNvPicPr>
                  </pic:nvPicPr>
                  <pic:blipFill>
                    <a:blip r:embed="rId6"/>
                    <a:stretch>
                      <a:fillRect/>
                    </a:stretch>
                  </pic:blipFill>
                  <pic:spPr>
                    <a:xfrm>
                      <a:off x="0" y="0"/>
                      <a:ext cx="1445260" cy="1766570"/>
                    </a:xfrm>
                    <a:prstGeom prst="rect">
                      <a:avLst/>
                    </a:prstGeom>
                  </pic:spPr>
                </pic:pic>
              </a:graphicData>
            </a:graphic>
          </wp:anchor>
        </w:drawing>
      </w:r>
      <w:r>
        <w:rPr>
          <w:b/>
          <w:color w:val="000000"/>
          <w:szCs w:val="21"/>
        </w:rPr>
        <w:t>中文书名：</w:t>
      </w:r>
      <w:r>
        <w:rPr>
          <w:rFonts w:hint="eastAsia"/>
          <w:b/>
          <w:color w:val="000000"/>
          <w:szCs w:val="21"/>
          <w:lang w:eastAsia="zh-CN"/>
        </w:rPr>
        <w:t>《声音博物馆：古典音乐》</w:t>
      </w:r>
    </w:p>
    <w:p w14:paraId="0EF31E24">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hint="eastAsia"/>
          <w:b/>
          <w:color w:val="000000"/>
          <w:szCs w:val="21"/>
        </w:rPr>
        <w:t>The Sound Museum: Classical Music</w:t>
      </w:r>
      <w:r>
        <w:rPr>
          <w:b/>
          <w:bCs/>
          <w:color w:val="000000"/>
          <w:szCs w:val="21"/>
        </w:rPr>
        <w:br w:type="textWrapping"/>
      </w:r>
      <w:r>
        <w:rPr>
          <w:b/>
          <w:color w:val="000000"/>
          <w:szCs w:val="21"/>
        </w:rPr>
        <w:t>作    者：</w:t>
      </w:r>
      <w:r>
        <w:rPr>
          <w:rFonts w:hint="eastAsia"/>
          <w:b/>
          <w:color w:val="000000"/>
          <w:szCs w:val="21"/>
        </w:rPr>
        <w:t>Diane Worthey</w:t>
      </w:r>
      <w:r>
        <w:rPr>
          <w:rFonts w:hint="default"/>
          <w:b/>
          <w:color w:val="000000"/>
          <w:szCs w:val="21"/>
          <w:lang w:val="en-US"/>
        </w:rPr>
        <w:t xml:space="preserve"> and </w:t>
      </w:r>
      <w:r>
        <w:rPr>
          <w:rFonts w:hint="eastAsia"/>
          <w:b/>
          <w:color w:val="000000"/>
          <w:szCs w:val="21"/>
        </w:rPr>
        <w:t>Teresa Bellón</w:t>
      </w:r>
    </w:p>
    <w:p w14:paraId="576D90E9">
      <w:pPr>
        <w:keepNext w:val="0"/>
        <w:keepLines w:val="0"/>
        <w:widowControl/>
        <w:suppressLineNumbers w:val="0"/>
        <w:jc w:val="left"/>
        <w:rPr>
          <w:rFonts w:hint="default" w:eastAsia="宋体"/>
          <w:kern w:val="0"/>
          <w:szCs w:val="21"/>
          <w:lang w:val="en-US" w:eastAsia="zh-CN"/>
        </w:rPr>
      </w:pPr>
      <w:r>
        <w:rPr>
          <w:b/>
          <w:bCs/>
          <w:kern w:val="0"/>
          <w:szCs w:val="21"/>
        </w:rPr>
        <w:t>出 版 社：</w:t>
      </w:r>
      <w:r>
        <w:rPr>
          <w:rFonts w:hint="eastAsia"/>
          <w:b/>
          <w:bCs/>
          <w:kern w:val="0"/>
          <w:szCs w:val="21"/>
        </w:rPr>
        <w:t>Bushel &amp; Peck</w:t>
      </w:r>
    </w:p>
    <w:p w14:paraId="20ABF58B">
      <w:pPr>
        <w:keepLines w:val="0"/>
        <w:pageBreakBefore w:val="0"/>
        <w:widowControl/>
        <w:kinsoku/>
        <w:wordWrap/>
        <w:overflowPunct/>
        <w:topLinePunct w:val="0"/>
        <w:autoSpaceDE/>
        <w:autoSpaceDN/>
        <w:bidi w:val="0"/>
        <w:adjustRightInd/>
        <w:snapToGrid/>
        <w:textAlignment w:val="auto"/>
        <w:rPr>
          <w:rFonts w:hint="eastAsia" w:eastAsia="宋体"/>
          <w:kern w:val="0"/>
          <w:szCs w:val="21"/>
          <w:lang w:eastAsia="zh-CN"/>
        </w:rPr>
      </w:pPr>
      <w:r>
        <w:rPr>
          <w:b/>
          <w:bCs/>
          <w:kern w:val="0"/>
          <w:szCs w:val="21"/>
        </w:rPr>
        <w:t>代理公司：</w:t>
      </w:r>
      <w:r>
        <w:rPr>
          <w:rFonts w:hint="default"/>
          <w:b/>
          <w:bCs/>
          <w:kern w:val="0"/>
          <w:szCs w:val="21"/>
          <w:lang w:val="en-US" w:eastAsia="zh-CN"/>
        </w:rPr>
        <w:t>Biagi</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rFonts w:hint="eastAsia" w:eastAsia="宋体"/>
          <w:kern w:val="0"/>
          <w:szCs w:val="21"/>
          <w:lang w:eastAsia="zh-CN"/>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26</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2</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rFonts w:hint="default"/>
          <w:kern w:val="0"/>
          <w:szCs w:val="21"/>
          <w:lang w:val="en-US"/>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知识绘本</w:t>
      </w:r>
      <w:bookmarkStart w:id="0" w:name="_GoBack"/>
      <w:bookmarkEnd w:id="0"/>
    </w:p>
    <w:p w14:paraId="46EE8E64">
      <w:pPr>
        <w:tabs>
          <w:tab w:val="left" w:pos="341"/>
          <w:tab w:val="left" w:pos="5235"/>
        </w:tabs>
        <w:rPr>
          <w:rFonts w:hint="eastAsia"/>
          <w:b/>
          <w:bCs/>
          <w:kern w:val="0"/>
          <w:szCs w:val="21"/>
          <w:lang w:val="en-US" w:eastAsia="zh-CN"/>
        </w:rPr>
      </w:pPr>
    </w:p>
    <w:p w14:paraId="10286D77">
      <w:pPr>
        <w:tabs>
          <w:tab w:val="left" w:pos="341"/>
          <w:tab w:val="left" w:pos="5235"/>
        </w:tabs>
        <w:jc w:val="center"/>
        <w:rPr>
          <w:rFonts w:hint="eastAsia"/>
          <w:b/>
          <w:bCs/>
          <w:color w:val="E69B01"/>
          <w:kern w:val="0"/>
          <w:szCs w:val="21"/>
          <w:lang w:val="en-US" w:eastAsia="zh-CN"/>
        </w:rPr>
      </w:pPr>
      <w:r>
        <w:rPr>
          <w:rFonts w:hint="eastAsia"/>
          <w:b/>
          <w:bCs/>
          <w:color w:val="E69B01"/>
          <w:kern w:val="0"/>
          <w:szCs w:val="21"/>
          <w:lang w:val="en-US" w:eastAsia="zh-CN"/>
        </w:rPr>
        <w:t>探索乐器、作曲家与交响乐的世界</w:t>
      </w:r>
    </w:p>
    <w:p w14:paraId="4D1143CF">
      <w:pPr>
        <w:numPr>
          <w:ilvl w:val="0"/>
          <w:numId w:val="1"/>
        </w:numPr>
        <w:ind w:left="420" w:leftChars="0" w:hanging="420" w:firstLineChars="0"/>
        <w:rPr>
          <w:rFonts w:hint="default"/>
          <w:b/>
          <w:bCs/>
          <w:color w:val="E95F38"/>
          <w:kern w:val="0"/>
          <w:szCs w:val="21"/>
          <w:lang w:val="en-US" w:eastAsia="zh-CN"/>
        </w:rPr>
      </w:pPr>
      <w:r>
        <w:rPr>
          <w:rFonts w:hint="default"/>
          <w:b/>
          <w:bCs/>
          <w:color w:val="E95F38"/>
          <w:kern w:val="0"/>
          <w:szCs w:val="21"/>
          <w:lang w:val="en-US" w:eastAsia="zh-CN"/>
        </w:rPr>
        <w:t>凭借400多个独立的按钮发声，这本独一无二的书让孩子们在探索乐器、作曲家和著名作品时，以前所未有的方式聆听古典音乐的生动呈现。</w:t>
      </w:r>
    </w:p>
    <w:p w14:paraId="3BD2BAA9">
      <w:pPr>
        <w:numPr>
          <w:ilvl w:val="0"/>
          <w:numId w:val="1"/>
        </w:numPr>
        <w:ind w:left="420" w:leftChars="0" w:hanging="420" w:firstLineChars="0"/>
        <w:rPr>
          <w:rFonts w:hint="default"/>
          <w:b/>
          <w:bCs/>
          <w:color w:val="E95F38"/>
          <w:kern w:val="0"/>
          <w:szCs w:val="21"/>
          <w:lang w:val="en-US" w:eastAsia="zh-CN"/>
        </w:rPr>
      </w:pPr>
      <w:r>
        <w:rPr>
          <w:rFonts w:hint="default"/>
          <w:b/>
          <w:bCs/>
          <w:color w:val="E95F38"/>
          <w:kern w:val="0"/>
          <w:szCs w:val="21"/>
          <w:lang w:val="en-US" w:eastAsia="zh-CN"/>
        </w:rPr>
        <w:t>孩子们还将学习丰富的音乐理论词汇——从速度到力度等等——配有声音片段来演示每一个柔板、无伴奏合唱等。</w:t>
      </w:r>
    </w:p>
    <w:p w14:paraId="3F493ABC">
      <w:pPr>
        <w:numPr>
          <w:ilvl w:val="0"/>
          <w:numId w:val="1"/>
        </w:numPr>
        <w:ind w:left="420" w:leftChars="0" w:hanging="420" w:firstLineChars="0"/>
        <w:rPr>
          <w:rFonts w:hint="default"/>
          <w:b/>
          <w:bCs/>
          <w:color w:val="E95F38"/>
          <w:kern w:val="0"/>
          <w:szCs w:val="21"/>
          <w:lang w:val="en-US" w:eastAsia="zh-CN"/>
        </w:rPr>
      </w:pPr>
      <w:r>
        <w:rPr>
          <w:rFonts w:hint="default"/>
          <w:b/>
          <w:bCs/>
          <w:color w:val="E95F38"/>
          <w:kern w:val="0"/>
          <w:szCs w:val="21"/>
          <w:lang w:val="en-US" w:eastAsia="zh-CN"/>
        </w:rPr>
        <w:t>本书充满了生动的插图、引人入胜的知识，以及触手可及的管弦乐级别的声音，是适合新晋音乐家的完美选择。</w:t>
      </w:r>
    </w:p>
    <w:p w14:paraId="4C7CAFCD">
      <w:pPr>
        <w:rPr>
          <w:rFonts w:hint="default"/>
          <w:b w:val="0"/>
          <w:bCs w:val="0"/>
          <w:color w:val="BE3826"/>
          <w:kern w:val="0"/>
          <w:szCs w:val="21"/>
          <w:lang w:val="en-US" w:eastAsia="zh-CN"/>
        </w:rPr>
      </w:pPr>
    </w:p>
    <w:p w14:paraId="5197D7D3">
      <w:pPr>
        <w:rPr>
          <w:b/>
          <w:bCs/>
          <w:color w:val="000000"/>
        </w:rPr>
      </w:pPr>
      <w:r>
        <w:rPr>
          <w:b/>
          <w:bCs/>
          <w:color w:val="000000"/>
        </w:rPr>
        <w:t>内容简介：</w:t>
      </w:r>
    </w:p>
    <w:p w14:paraId="11C53EB9">
      <w:pPr>
        <w:ind w:right="420" w:firstLine="420" w:firstLineChars="0"/>
        <w:jc w:val="left"/>
        <w:rPr>
          <w:rFonts w:hint="eastAsia"/>
          <w:b w:val="0"/>
          <w:bCs/>
          <w:color w:val="000000"/>
          <w:szCs w:val="21"/>
          <w:lang w:eastAsia="zh-CN"/>
        </w:rPr>
      </w:pPr>
    </w:p>
    <w:p w14:paraId="7EF8966A">
      <w:pPr>
        <w:ind w:right="420" w:firstLine="420" w:firstLineChars="0"/>
        <w:jc w:val="left"/>
        <w:rPr>
          <w:rFonts w:hint="eastAsia"/>
          <w:b w:val="0"/>
          <w:bCs/>
          <w:color w:val="000000"/>
          <w:szCs w:val="21"/>
        </w:rPr>
      </w:pPr>
      <w:r>
        <w:rPr>
          <w:rFonts w:hint="eastAsia"/>
          <w:b w:val="0"/>
          <w:bCs/>
          <w:color w:val="000000"/>
          <w:szCs w:val="21"/>
        </w:rPr>
        <w:t>孩子们可以探索古典音乐的世界，包括乐器、作曲家和交响乐，包含</w:t>
      </w:r>
      <w:r>
        <w:rPr>
          <w:rFonts w:hint="default"/>
          <w:b w:val="0"/>
          <w:bCs/>
          <w:color w:val="000000"/>
          <w:szCs w:val="21"/>
          <w:lang w:val="en-US"/>
        </w:rPr>
        <w:t>400</w:t>
      </w:r>
      <w:r>
        <w:rPr>
          <w:rFonts w:hint="eastAsia"/>
          <w:b w:val="0"/>
          <w:bCs/>
          <w:color w:val="000000"/>
          <w:szCs w:val="21"/>
        </w:rPr>
        <w:t>多种声音！</w:t>
      </w:r>
    </w:p>
    <w:p w14:paraId="0E49BFA7">
      <w:pPr>
        <w:ind w:right="420" w:firstLine="420" w:firstLineChars="0"/>
        <w:jc w:val="left"/>
        <w:rPr>
          <w:rFonts w:hint="eastAsia"/>
          <w:b w:val="0"/>
          <w:bCs/>
          <w:color w:val="000000"/>
          <w:szCs w:val="21"/>
        </w:rPr>
      </w:pPr>
    </w:p>
    <w:p w14:paraId="613CD867">
      <w:pPr>
        <w:ind w:right="420" w:firstLine="420" w:firstLineChars="0"/>
        <w:jc w:val="left"/>
        <w:rPr>
          <w:rFonts w:hint="eastAsia"/>
          <w:b w:val="0"/>
          <w:bCs/>
          <w:color w:val="000000"/>
          <w:szCs w:val="21"/>
        </w:rPr>
      </w:pPr>
      <w:r>
        <w:rPr>
          <w:rFonts w:hint="eastAsia"/>
          <w:b w:val="0"/>
          <w:bCs/>
          <w:color w:val="000000"/>
          <w:szCs w:val="21"/>
        </w:rPr>
        <w:t>奏响乐团——你的古典音乐冒险即将开始！凭借</w:t>
      </w:r>
      <w:r>
        <w:rPr>
          <w:rFonts w:hint="default"/>
          <w:b w:val="0"/>
          <w:bCs/>
          <w:color w:val="000000"/>
          <w:szCs w:val="21"/>
          <w:lang w:val="en-US"/>
        </w:rPr>
        <w:t>400</w:t>
      </w:r>
      <w:r>
        <w:rPr>
          <w:rFonts w:hint="eastAsia"/>
          <w:b w:val="0"/>
          <w:bCs/>
          <w:color w:val="000000"/>
          <w:szCs w:val="21"/>
        </w:rPr>
        <w:t>个独立的按钮发声，这本独一无二的书让孩子们在探索乐器、作曲家和著名作品时，以前所未有的方式聆听古典音乐的生动呈现。</w:t>
      </w:r>
    </w:p>
    <w:p w14:paraId="6B26C35B">
      <w:pPr>
        <w:ind w:right="420" w:firstLine="420" w:firstLineChars="0"/>
        <w:jc w:val="left"/>
        <w:rPr>
          <w:rFonts w:hint="eastAsia"/>
          <w:b w:val="0"/>
          <w:bCs/>
          <w:color w:val="000000"/>
          <w:szCs w:val="21"/>
        </w:rPr>
      </w:pPr>
    </w:p>
    <w:p w14:paraId="4094A2ED">
      <w:pPr>
        <w:ind w:right="420" w:firstLine="420" w:firstLineChars="0"/>
        <w:jc w:val="left"/>
        <w:rPr>
          <w:rFonts w:hint="eastAsia"/>
          <w:b w:val="0"/>
          <w:bCs/>
          <w:color w:val="000000"/>
          <w:szCs w:val="21"/>
        </w:rPr>
      </w:pPr>
      <w:r>
        <w:rPr>
          <w:rFonts w:hint="eastAsia"/>
          <w:b w:val="0"/>
          <w:bCs/>
          <w:color w:val="000000"/>
          <w:szCs w:val="21"/>
        </w:rPr>
        <w:t>探索每一个乐器家族和合唱声部，聆听每种声音被赋予生命——从长笛明亮的颤音，到长号滑稽的滑奏，再到花腔女高音的高亢咏叹调。然后穿越各个主要音乐时期，结识从巴赫(Bach)到贝多芬(Beethoven)的传奇作曲家，并欣赏数十部标志性杰作。孩子们还将学习丰富的音乐理论词汇——从速度到力度等等——配有声音片段来演示每一个柔板、无伴奏合唱等。</w:t>
      </w:r>
    </w:p>
    <w:p w14:paraId="21AEFDD1">
      <w:pPr>
        <w:ind w:right="420" w:firstLine="420" w:firstLineChars="0"/>
        <w:jc w:val="left"/>
        <w:rPr>
          <w:rFonts w:hint="eastAsia"/>
          <w:b w:val="0"/>
          <w:bCs/>
          <w:color w:val="000000"/>
          <w:szCs w:val="21"/>
        </w:rPr>
      </w:pPr>
    </w:p>
    <w:p w14:paraId="21F0D502">
      <w:pPr>
        <w:ind w:right="420" w:firstLine="420" w:firstLineChars="0"/>
        <w:jc w:val="left"/>
        <w:rPr>
          <w:rFonts w:hint="eastAsia"/>
          <w:b w:val="0"/>
          <w:bCs/>
          <w:color w:val="000000"/>
          <w:szCs w:val="21"/>
        </w:rPr>
      </w:pPr>
      <w:r>
        <w:rPr>
          <w:rFonts w:hint="eastAsia"/>
          <w:b w:val="0"/>
          <w:bCs/>
          <w:color w:val="000000"/>
          <w:szCs w:val="21"/>
        </w:rPr>
        <w:t>本书充满了生动的插图、引人入胜的知识，以及触手可及的管弦乐级别的声音，是好奇的听众和新晋音乐家的完美选择。最棒的是，它采用全充电设计——无需更换或丢弃电池！尽情享受专为孩子们打造的最激动人心的古典音乐之旅的前排座位吧。</w:t>
      </w:r>
    </w:p>
    <w:p w14:paraId="449B24AC">
      <w:pPr>
        <w:ind w:right="420"/>
        <w:jc w:val="left"/>
        <w:rPr>
          <w:b/>
          <w:color w:val="000000"/>
          <w:szCs w:val="21"/>
        </w:rPr>
      </w:pPr>
    </w:p>
    <w:p w14:paraId="42FC48FB">
      <w:pPr>
        <w:ind w:right="420"/>
        <w:jc w:val="left"/>
        <w:rPr>
          <w:b/>
          <w:color w:val="000000"/>
          <w:szCs w:val="21"/>
        </w:rPr>
      </w:pPr>
    </w:p>
    <w:p w14:paraId="0B57DAA1">
      <w:pPr>
        <w:ind w:right="420"/>
        <w:jc w:val="left"/>
        <w:rPr>
          <w:b/>
          <w:color w:val="000000"/>
          <w:szCs w:val="21"/>
        </w:rPr>
      </w:pPr>
      <w:r>
        <w:rPr>
          <w:b/>
          <w:color w:val="000000"/>
          <w:szCs w:val="21"/>
        </w:rPr>
        <w:t>作者简介：</w:t>
      </w:r>
    </w:p>
    <w:p w14:paraId="0530E063">
      <w:pPr>
        <w:ind w:right="420"/>
        <w:jc w:val="left"/>
        <w:rPr>
          <w:rFonts w:hint="default" w:eastAsia="宋体"/>
          <w:b/>
          <w:color w:val="000000"/>
          <w:szCs w:val="21"/>
          <w:lang w:val="en-US" w:eastAsia="zh-CN"/>
        </w:rPr>
      </w:pPr>
    </w:p>
    <w:p w14:paraId="1577D066">
      <w:pPr>
        <w:ind w:right="420" w:firstLine="420" w:firstLineChars="0"/>
        <w:jc w:val="left"/>
        <w:rPr>
          <w:rFonts w:hint="eastAsia" w:eastAsia="宋体"/>
          <w:b w:val="0"/>
          <w:bCs/>
          <w:color w:val="000000"/>
          <w:szCs w:val="21"/>
          <w:lang w:eastAsia="zh-CN"/>
        </w:rPr>
      </w:pPr>
      <w:r>
        <w:rPr>
          <w:rFonts w:hint="default" w:eastAsia="宋体"/>
          <w:b/>
          <w:color w:val="000000"/>
          <w:szCs w:val="21"/>
          <w:lang w:val="en-US" w:eastAsia="zh-CN"/>
        </w:rPr>
        <w:drawing>
          <wp:anchor distT="0" distB="0" distL="114300" distR="114300" simplePos="0" relativeHeight="251661312" behindDoc="0" locked="0" layoutInCell="1" allowOverlap="1">
            <wp:simplePos x="0" y="0"/>
            <wp:positionH relativeFrom="column">
              <wp:posOffset>19050</wp:posOffset>
            </wp:positionH>
            <wp:positionV relativeFrom="paragraph">
              <wp:posOffset>83820</wp:posOffset>
            </wp:positionV>
            <wp:extent cx="706755" cy="711835"/>
            <wp:effectExtent l="0" t="0" r="4445" b="24765"/>
            <wp:wrapSquare wrapText="bothSides"/>
            <wp:docPr id="4" name="图片 4" descr="834c6004-4b34-4605-a392-2da1dbb347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34c6004-4b34-4605-a392-2da1dbb3474b"/>
                    <pic:cNvPicPr>
                      <a:picLocks noChangeAspect="1"/>
                    </pic:cNvPicPr>
                  </pic:nvPicPr>
                  <pic:blipFill>
                    <a:blip r:embed="rId7"/>
                    <a:stretch>
                      <a:fillRect/>
                    </a:stretch>
                  </pic:blipFill>
                  <pic:spPr>
                    <a:xfrm>
                      <a:off x="0" y="0"/>
                      <a:ext cx="706755" cy="711835"/>
                    </a:xfrm>
                    <a:prstGeom prst="rect">
                      <a:avLst/>
                    </a:prstGeom>
                  </pic:spPr>
                </pic:pic>
              </a:graphicData>
            </a:graphic>
          </wp:anchor>
        </w:drawing>
      </w:r>
      <w:r>
        <w:rPr>
          <w:rFonts w:hint="eastAsia" w:eastAsia="宋体"/>
          <w:b/>
          <w:bCs w:val="0"/>
          <w:color w:val="000000"/>
          <w:szCs w:val="21"/>
          <w:lang w:eastAsia="zh-CN"/>
        </w:rPr>
        <w:t>黛安·沃西(Diane Worthey)</w:t>
      </w:r>
      <w:r>
        <w:rPr>
          <w:rFonts w:hint="eastAsia" w:eastAsia="宋体"/>
          <w:b w:val="0"/>
          <w:bCs/>
          <w:color w:val="000000"/>
          <w:szCs w:val="21"/>
          <w:lang w:eastAsia="zh-CN"/>
        </w:rPr>
        <w:t>是一位获奖作家和受过古典训练的小提琴家。她与华盛顿-爱达荷交响乐团(Washington-Idaho Symphony)合作演出，并在华盛顿州普尔曼(Pullman)的工作室教授新晋音乐家。当她不写作或演奏音乐时，经常可以看到她手捧一本好书、喝着燕麦奶拿铁，膝上蜷缩着一只猫。</w:t>
      </w:r>
    </w:p>
    <w:p w14:paraId="7936386E">
      <w:pPr>
        <w:ind w:right="420" w:firstLine="420" w:firstLineChars="0"/>
        <w:jc w:val="left"/>
        <w:rPr>
          <w:rFonts w:hint="default" w:eastAsia="宋体"/>
          <w:b w:val="0"/>
          <w:bCs/>
          <w:color w:val="000000"/>
          <w:szCs w:val="21"/>
          <w:lang w:val="en-US" w:eastAsia="zh-CN"/>
        </w:rPr>
      </w:pPr>
    </w:p>
    <w:p w14:paraId="4ECB0101">
      <w:pPr>
        <w:ind w:right="420" w:firstLine="420" w:firstLineChars="0"/>
        <w:jc w:val="left"/>
        <w:rPr>
          <w:rFonts w:hint="eastAsia" w:eastAsia="宋体"/>
          <w:b/>
          <w:color w:val="000000"/>
          <w:szCs w:val="21"/>
          <w:lang w:eastAsia="zh-CN"/>
        </w:rPr>
      </w:pPr>
      <w:r>
        <w:rPr>
          <w:rFonts w:hint="default" w:eastAsia="宋体"/>
          <w:b w:val="0"/>
          <w:bCs/>
          <w:color w:val="000000"/>
          <w:szCs w:val="21"/>
          <w:lang w:val="en-US" w:eastAsia="zh-CN"/>
        </w:rPr>
        <w:drawing>
          <wp:anchor distT="0" distB="0" distL="114300" distR="114300" simplePos="0" relativeHeight="251660288" behindDoc="0" locked="0" layoutInCell="1" allowOverlap="1">
            <wp:simplePos x="0" y="0"/>
            <wp:positionH relativeFrom="column">
              <wp:posOffset>-10160</wp:posOffset>
            </wp:positionH>
            <wp:positionV relativeFrom="paragraph">
              <wp:posOffset>30480</wp:posOffset>
            </wp:positionV>
            <wp:extent cx="659765" cy="659765"/>
            <wp:effectExtent l="0" t="0" r="635" b="635"/>
            <wp:wrapSquare wrapText="bothSides"/>
            <wp:docPr id="2" name="图片 2" descr="051e7794-ef14-4bec-b943-8775188443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51e7794-ef14-4bec-b943-8775188443e2"/>
                    <pic:cNvPicPr>
                      <a:picLocks noChangeAspect="1"/>
                    </pic:cNvPicPr>
                  </pic:nvPicPr>
                  <pic:blipFill>
                    <a:blip r:embed="rId8"/>
                    <a:stretch>
                      <a:fillRect/>
                    </a:stretch>
                  </pic:blipFill>
                  <pic:spPr>
                    <a:xfrm>
                      <a:off x="0" y="0"/>
                      <a:ext cx="659765" cy="659765"/>
                    </a:xfrm>
                    <a:prstGeom prst="rect">
                      <a:avLst/>
                    </a:prstGeom>
                  </pic:spPr>
                </pic:pic>
              </a:graphicData>
            </a:graphic>
          </wp:anchor>
        </w:drawing>
      </w:r>
      <w:r>
        <w:rPr>
          <w:rFonts w:hint="eastAsia" w:eastAsia="宋体"/>
          <w:b/>
          <w:bCs w:val="0"/>
          <w:color w:val="000000"/>
          <w:szCs w:val="21"/>
          <w:lang w:eastAsia="zh-CN"/>
        </w:rPr>
        <w:t>特蕾莎·贝略(Teresa Bellón)</w:t>
      </w:r>
      <w:r>
        <w:rPr>
          <w:rFonts w:hint="eastAsia" w:eastAsia="宋体"/>
          <w:b w:val="0"/>
          <w:bCs/>
          <w:color w:val="000000"/>
          <w:szCs w:val="21"/>
          <w:lang w:eastAsia="zh-CN"/>
        </w:rPr>
        <w:t>出生于西班牙阿尔巴塞特(Albacete)。在马德里完成插画课程后，她开始为国内外客户工作，并举办过数次作品展。特蕾莎的灵感主要来自葡萄牙和北欧的童书插画家。她的画作色彩范围有限，构图简洁。在空闲时间，特蕾莎喜欢旅行、购买插画书，并在马德里漫步。</w:t>
      </w:r>
    </w:p>
    <w:p w14:paraId="57BF1B79">
      <w:pPr>
        <w:keepNext w:val="0"/>
        <w:keepLines w:val="0"/>
        <w:widowControl/>
        <w:suppressLineNumbers w:val="0"/>
        <w:jc w:val="left"/>
      </w:pPr>
    </w:p>
    <w:p w14:paraId="425D79F9">
      <w:pPr>
        <w:rPr>
          <w:rFonts w:hint="eastAsia"/>
          <w:b/>
          <w:color w:val="000000"/>
          <w:szCs w:val="21"/>
          <w:lang w:val="en-US" w:eastAsia="zh-CN"/>
        </w:rPr>
      </w:pPr>
      <w:r>
        <w:rPr>
          <w:rFonts w:hint="eastAsia"/>
          <w:b/>
          <w:color w:val="000000"/>
          <w:szCs w:val="21"/>
          <w:lang w:val="en-US" w:eastAsia="zh-CN"/>
        </w:rPr>
        <w:t>内页插图：</w:t>
      </w:r>
    </w:p>
    <w:p w14:paraId="1DD57BC1">
      <w:pPr>
        <w:rPr>
          <w:rFonts w:hint="eastAsia"/>
          <w:b/>
          <w:color w:val="000000"/>
          <w:szCs w:val="21"/>
          <w:lang w:val="en-US" w:eastAsia="zh-CN"/>
        </w:rPr>
      </w:pPr>
    </w:p>
    <w:p w14:paraId="0C87FEEA">
      <w:r>
        <w:drawing>
          <wp:inline distT="0" distB="0" distL="114300" distR="114300">
            <wp:extent cx="3042285" cy="2042795"/>
            <wp:effectExtent l="0" t="0" r="571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3042285" cy="2042795"/>
                    </a:xfrm>
                    <a:prstGeom prst="rect">
                      <a:avLst/>
                    </a:prstGeom>
                    <a:noFill/>
                    <a:ln>
                      <a:noFill/>
                    </a:ln>
                  </pic:spPr>
                </pic:pic>
              </a:graphicData>
            </a:graphic>
          </wp:inline>
        </w:drawing>
      </w:r>
    </w:p>
    <w:p w14:paraId="1714FFBF">
      <w:r>
        <w:drawing>
          <wp:inline distT="0" distB="0" distL="114300" distR="114300">
            <wp:extent cx="4051935" cy="2211705"/>
            <wp:effectExtent l="0" t="0" r="12065" b="2349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0"/>
                    <a:stretch>
                      <a:fillRect/>
                    </a:stretch>
                  </pic:blipFill>
                  <pic:spPr>
                    <a:xfrm>
                      <a:off x="0" y="0"/>
                      <a:ext cx="4051935" cy="2211705"/>
                    </a:xfrm>
                    <a:prstGeom prst="rect">
                      <a:avLst/>
                    </a:prstGeom>
                    <a:noFill/>
                    <a:ln>
                      <a:noFill/>
                    </a:ln>
                  </pic:spPr>
                </pic:pic>
              </a:graphicData>
            </a:graphic>
          </wp:inline>
        </w:drawing>
      </w:r>
    </w:p>
    <w:p w14:paraId="47734298"/>
    <w:p w14:paraId="67C657B8">
      <w:pPr>
        <w:rPr>
          <w:rFonts w:hint="eastAsia"/>
          <w:lang w:val="en-US" w:eastAsia="zh-CN"/>
        </w:rPr>
      </w:pPr>
    </w:p>
    <w:p w14:paraId="149725C1">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7"/>
          <w:rFonts w:hint="eastAsia"/>
          <w:szCs w:val="21"/>
        </w:rPr>
        <w:t>Righ</w:t>
      </w:r>
      <w:r>
        <w:rPr>
          <w:rStyle w:val="7"/>
          <w:szCs w:val="21"/>
        </w:rPr>
        <w:t>ts@nurnberg.com.cn</w:t>
      </w:r>
      <w:r>
        <w:rPr>
          <w:rStyle w:val="7"/>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7"/>
          <w:szCs w:val="21"/>
        </w:rPr>
      </w:pPr>
      <w:r>
        <w:rPr>
          <w:color w:val="000000"/>
          <w:szCs w:val="21"/>
        </w:rPr>
        <w:t>公司网址：</w:t>
      </w:r>
      <w:r>
        <w:fldChar w:fldCharType="begin"/>
      </w:r>
      <w:r>
        <w:instrText xml:space="preserve"> HYPERLINK "http://www.nurnberg.com.cn/" </w:instrText>
      </w:r>
      <w:r>
        <w:fldChar w:fldCharType="separate"/>
      </w:r>
      <w:r>
        <w:rPr>
          <w:rStyle w:val="7"/>
          <w:szCs w:val="21"/>
        </w:rPr>
        <w:t>http://www.nurnberg.com.cn</w:t>
      </w:r>
      <w:r>
        <w:rPr>
          <w:rStyle w:val="7"/>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7"/>
          <w:szCs w:val="21"/>
        </w:rPr>
        <w:t>http://www.nurnberg.com.cn/booklist_zh/list.aspx</w:t>
      </w:r>
      <w:r>
        <w:rPr>
          <w:rStyle w:val="7"/>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7"/>
          <w:szCs w:val="21"/>
        </w:rPr>
        <w:t>http://www.nurnberg.com.cn/book/book.aspx</w:t>
      </w:r>
      <w:r>
        <w:rPr>
          <w:rStyle w:val="7"/>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7"/>
          <w:szCs w:val="21"/>
        </w:rPr>
        <w:t>http://www.nurnberg.com.cn/video/video.aspx</w:t>
      </w:r>
      <w:r>
        <w:rPr>
          <w:rStyle w:val="7"/>
          <w:szCs w:val="21"/>
        </w:rPr>
        <w:fldChar w:fldCharType="end"/>
      </w:r>
    </w:p>
    <w:p w14:paraId="0E913194">
      <w:pPr>
        <w:rPr>
          <w:rStyle w:val="7"/>
          <w:szCs w:val="21"/>
        </w:rPr>
      </w:pPr>
      <w:r>
        <w:rPr>
          <w:color w:val="000000"/>
          <w:szCs w:val="21"/>
        </w:rPr>
        <w:t>豆瓣小站：</w:t>
      </w:r>
      <w:r>
        <w:fldChar w:fldCharType="begin"/>
      </w:r>
      <w:r>
        <w:instrText xml:space="preserve"> HYPERLINK "http://site.douban.com/110577/" </w:instrText>
      </w:r>
      <w:r>
        <w:fldChar w:fldCharType="separate"/>
      </w:r>
      <w:r>
        <w:rPr>
          <w:rStyle w:val="7"/>
          <w:szCs w:val="21"/>
        </w:rPr>
        <w:t>http://site.douban.com/110577/</w:t>
      </w:r>
      <w:r>
        <w:rPr>
          <w:rStyle w:val="7"/>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17BFB753"/>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7"/>
        <w:rFonts w:hint="eastAsia" w:ascii="方正姚体" w:hAnsi="华文仿宋" w:eastAsia="方正姚体"/>
      </w:rPr>
      <w:t>www.nurnberg.com.cn</w:t>
    </w:r>
    <w:r>
      <w:rPr>
        <w:rStyle w:val="7"/>
        <w:rFonts w:hint="eastAsia" w:ascii="方正姚体" w:hAnsi="华文仿宋" w:eastAsia="方正姚体"/>
      </w:rPr>
      <w:fldChar w:fldCharType="end"/>
    </w:r>
  </w:p>
  <w:p w14:paraId="1C88F25B">
    <w:pPr>
      <w:pStyle w:val="3"/>
      <w:jc w:val="center"/>
      <w:rPr>
        <w:rFonts w:eastAsia="方正姚体"/>
      </w:rPr>
    </w:pPr>
  </w:p>
  <w:p w14:paraId="2BD4341D">
    <w:pPr>
      <w:pStyle w:val="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2336"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4"/>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DFC39F"/>
    <w:multiLevelType w:val="singleLevel"/>
    <w:tmpl w:val="FFDFC39F"/>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2FF0CA3"/>
    <w:rsid w:val="1EF91A37"/>
    <w:rsid w:val="3DE7B625"/>
    <w:rsid w:val="4BF44E02"/>
    <w:rsid w:val="4F0F6D7D"/>
    <w:rsid w:val="B2FF0CA3"/>
    <w:rsid w:val="BE3F3CC1"/>
    <w:rsid w:val="BF7A3CFF"/>
    <w:rsid w:val="DF4F249D"/>
    <w:rsid w:val="F3F505FE"/>
    <w:rsid w:val="FBBD7BE8"/>
    <w:rsid w:val="FFFF5B5B"/>
    <w:rsid w:val="FFFFF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1041</Words>
  <Characters>1445</Characters>
  <Lines>0</Lines>
  <Paragraphs>0</Paragraphs>
  <TotalTime>28</TotalTime>
  <ScaleCrop>false</ScaleCrop>
  <LinksUpToDate>false</LinksUpToDate>
  <CharactersWithSpaces>1480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2026-09-29T16:26:00Z</dcterms:created>
  <dc:creator>LEAD</dc:creator>
  <cp:lastModifiedBy>Ray</cp:lastModifiedBy>
  <dcterms:modified xsi:type="dcterms:W3CDTF">2026-10-10T10:15:46Z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B3CF7F95216C4A42806043CCC9785819_13</vt:lpwstr>
  </property>
  <property fmtid="{D5CDD505-2E9C-101B-9397-08002B2CF9AE}" pid="4" name="KSOTemplateDocerSaveRecord">
    <vt:lpwstr>eyJoZGlkIjoiMGI5MmIxZDJkZjc5N2U3ODdiMGVhMTZlZjhjMWI5ZjYiLCJ1c2VySWQiOiIyNzM0MDU0MzgifQ==</vt:lpwstr>
  </property>
</Properties>
</file>